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0017B">
      <w:pPr>
        <w:pStyle w:val="69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7" w:h="16839"/>
          <w:pgMar w:top="567" w:right="851" w:bottom="1361" w:left="1418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720" w:num="1"/>
          <w:titlePg/>
          <w:docGrid w:type="lines" w:linePitch="312" w:charSpace="0"/>
        </w:sectPr>
      </w:pPr>
      <w:bookmarkStart w:id="0" w:name="SectionMark0"/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4741545</wp:posOffset>
                </wp:positionH>
                <wp:positionV relativeFrom="paragraph">
                  <wp:posOffset>8862060</wp:posOffset>
                </wp:positionV>
                <wp:extent cx="733425" cy="495300"/>
                <wp:effectExtent l="0" t="0" r="3175" b="0"/>
                <wp:wrapNone/>
                <wp:docPr id="12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467C5A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58"/>
                                <w:rFonts w:hint="eastAsia"/>
                                <w:b/>
                                <w:szCs w:val="28"/>
                              </w:rPr>
                              <w:t>发布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373.35pt;margin-top:697.8pt;height:39pt;width:57.75pt;z-index:251667456;mso-width-relative:page;mso-height-relative:page;" fillcolor="#FFFFFF" filled="t" stroked="f" coordsize="21600,21600" o:gfxdata="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qHeQZ2gAAAA0BAAAPAAAAAAAAAAEAIAAAACIA&#10;AABkcnMvZG93bnJldi54bWxQSwECFAAUAAAACACHTuJAW9jvsc4BAACGAwAADgAAAAAAAAABACAA&#10;AAApAQAAZHJzL2Uyb0RvYy54bWxQSwUGAAAAAAYABgBZAQAAa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467C5A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Style w:val="58"/>
                          <w:rFonts w:hint="eastAsia"/>
                          <w:b/>
                          <w:szCs w:val="28"/>
                        </w:rP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8267065</wp:posOffset>
                </wp:positionV>
                <wp:extent cx="6121400" cy="326390"/>
                <wp:effectExtent l="0" t="0" r="0" b="16510"/>
                <wp:wrapNone/>
                <wp:docPr id="11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1400" cy="326390"/>
                          <a:chOff x="1418" y="14053"/>
                          <a:chExt cx="9640" cy="514"/>
                        </a:xfrm>
                      </wpg:grpSpPr>
                      <wps:wsp>
                        <wps:cNvPr id="8" name="fmFrame5"/>
                        <wps:cNvSpPr txBox="1"/>
                        <wps:spPr>
                          <a:xfrm>
                            <a:off x="1418" y="14053"/>
                            <a:ext cx="3180" cy="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9E722D">
                              <w:pPr>
                                <w:pStyle w:val="60"/>
                                <w:rPr>
                                  <w:rFonts w:hint="eastAsia" w:ascii="黑体"/>
                                </w:rPr>
                              </w:pPr>
                              <w:r>
                                <w:rPr>
                                  <w:rFonts w:hint="eastAsia" w:ascii="黑体"/>
                                </w:rPr>
                                <w:t>20</w:t>
                              </w:r>
                              <w:r>
                                <w:rPr>
                                  <w:rFonts w:hint="eastAsia" w:ascii="黑体"/>
                                  <w:lang w:val="en-US" w:eastAsia="zh-CN"/>
                                </w:rPr>
                                <w:t>2X-XX-XX</w:t>
                              </w:r>
                              <w:r>
                                <w:rPr>
                                  <w:rFonts w:hint="eastAsia" w:ascii="黑体"/>
                                </w:rPr>
                                <w:t>发布</w:t>
                              </w:r>
                            </w:p>
                          </w:txbxContent>
                        </wps:txbx>
                        <wps:bodyPr wrap="square" lIns="0" tIns="0" rIns="0" bIns="0" upright="1"/>
                      </wps:wsp>
                      <wps:wsp>
                        <wps:cNvPr id="9" name="fmFrame6"/>
                        <wps:cNvSpPr txBox="1"/>
                        <wps:spPr>
                          <a:xfrm>
                            <a:off x="7876" y="14053"/>
                            <a:ext cx="3180" cy="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EB2295C">
                              <w:pPr>
                                <w:pStyle w:val="89"/>
                                <w:rPr>
                                  <w:rFonts w:hint="eastAsia" w:ascii="黑体"/>
                                </w:rPr>
                              </w:pPr>
                              <w:r>
                                <w:rPr>
                                  <w:rFonts w:hint="eastAsia" w:ascii="黑体"/>
                                </w:rPr>
                                <w:t>2</w:t>
                              </w:r>
                              <w:r>
                                <w:rPr>
                                  <w:rFonts w:hint="eastAsia" w:ascii="黑体"/>
                                  <w:lang w:val="en-US" w:eastAsia="zh-CN"/>
                                </w:rPr>
                                <w:t>02X-XX-XX</w:t>
                              </w:r>
                              <w:r>
                                <w:rPr>
                                  <w:rFonts w:hint="eastAsia" w:ascii="黑体"/>
                                </w:rPr>
                                <w:t>实施</w:t>
                              </w:r>
                            </w:p>
                          </w:txbxContent>
                        </wps:txbx>
                        <wps:bodyPr wrap="square" lIns="0" tIns="0" rIns="0" bIns="0" upright="1"/>
                      </wps:wsp>
                      <wps:wsp>
                        <wps:cNvPr id="10" name="直线 17"/>
                        <wps:cNvCnPr/>
                        <wps:spPr>
                          <a:xfrm>
                            <a:off x="1418" y="14567"/>
                            <a:ext cx="964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800008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0pt;margin-top:650.95pt;height:25.7pt;width:482pt;z-index:251666432;mso-width-relative:page;mso-height-relative:page;" coordorigin="1418,14053" coordsize="9640,514" o:gfxdata="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">
                <o:lock v:ext="edit" aspectratio="f"/>
                <v:shape id="fmFrame5" o:spid="_x0000_s1026" o:spt="202" type="#_x0000_t202" style="position:absolute;left:1418;top:14053;height:492;width:3180;" fillcolor="#FFFFFF" filled="t" stroked="f" coordsize="21600,21600" o:gfxdata="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b01Pe2AAAA2g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49E722D">
                        <w:pPr>
                          <w:pStyle w:val="60"/>
                          <w:rPr>
                            <w:rFonts w:hint="eastAsia" w:ascii="黑体"/>
                          </w:rPr>
                        </w:pPr>
                        <w:r>
                          <w:rPr>
                            <w:rFonts w:hint="eastAsia" w:ascii="黑体"/>
                          </w:rPr>
                          <w:t>20</w:t>
                        </w:r>
                        <w:r>
                          <w:rPr>
                            <w:rFonts w:hint="eastAsia" w:ascii="黑体"/>
                            <w:lang w:val="en-US" w:eastAsia="zh-CN"/>
                          </w:rPr>
                          <w:t>2X-XX-XX</w:t>
                        </w:r>
                        <w:r>
                          <w:rPr>
                            <w:rFonts w:hint="eastAsia" w:ascii="黑体"/>
                          </w:rPr>
                          <w:t>发布</w:t>
                        </w:r>
                      </w:p>
                    </w:txbxContent>
                  </v:textbox>
                </v:shape>
                <v:shape id="fmFrame6" o:spid="_x0000_s1026" o:spt="202" type="#_x0000_t202" style="position:absolute;left:7876;top:14053;height:492;width:3180;" fillcolor="#FFFFFF" filled="t" stroked="f" coordsize="21600,21600" o:gfxdata="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uHFs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EB2295C">
                        <w:pPr>
                          <w:pStyle w:val="89"/>
                          <w:rPr>
                            <w:rFonts w:hint="eastAsia" w:ascii="黑体"/>
                          </w:rPr>
                        </w:pPr>
                        <w:r>
                          <w:rPr>
                            <w:rFonts w:hint="eastAsia" w:ascii="黑体"/>
                          </w:rPr>
                          <w:t>2</w:t>
                        </w:r>
                        <w:r>
                          <w:rPr>
                            <w:rFonts w:hint="eastAsia" w:ascii="黑体"/>
                            <w:lang w:val="en-US" w:eastAsia="zh-CN"/>
                          </w:rPr>
                          <w:t>02X-XX-XX</w:t>
                        </w:r>
                        <w:r>
                          <w:rPr>
                            <w:rFonts w:hint="eastAsia" w:ascii="黑体"/>
                          </w:rPr>
                          <w:t>实施</w:t>
                        </w:r>
                      </w:p>
                    </w:txbxContent>
                  </v:textbox>
                </v:shape>
                <v:line id="直线 17" o:spid="_x0000_s1026" o:spt="20" style="position:absolute;left:1418;top:14567;height:0;width:9640;" filled="f" stroked="t" coordsize="21600,21600" o:gfxdata="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1wl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800008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1423035</wp:posOffset>
                </wp:positionH>
                <wp:positionV relativeFrom="margin">
                  <wp:posOffset>8663305</wp:posOffset>
                </wp:positionV>
                <wp:extent cx="3146425" cy="846455"/>
                <wp:effectExtent l="0" t="0" r="3175" b="4445"/>
                <wp:wrapNone/>
                <wp:docPr id="7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642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F07B1D2">
                            <w:pPr>
                              <w:pStyle w:val="59"/>
                              <w:ind w:firstLine="401" w:firstLineChars="100"/>
                              <w:jc w:val="center"/>
                              <w:rPr>
                                <w:rStyle w:val="58"/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w w:val="100"/>
                                <w:szCs w:val="36"/>
                              </w:rPr>
                              <w:t>国家</w:t>
                            </w:r>
                            <w:r>
                              <w:rPr>
                                <w:rFonts w:hint="eastAsia"/>
                                <w:w w:val="100"/>
                                <w:szCs w:val="36"/>
                                <w:lang w:val="en-US" w:eastAsia="zh-CN"/>
                              </w:rPr>
                              <w:t>市场</w:t>
                            </w:r>
                            <w:r>
                              <w:rPr>
                                <w:rFonts w:hint="eastAsia"/>
                                <w:w w:val="100"/>
                                <w:szCs w:val="36"/>
                              </w:rPr>
                              <w:t>监督</w:t>
                            </w:r>
                            <w:r>
                              <w:rPr>
                                <w:rFonts w:hint="eastAsia"/>
                                <w:w w:val="100"/>
                                <w:szCs w:val="36"/>
                                <w:lang w:val="en-US" w:eastAsia="zh-CN"/>
                              </w:rPr>
                              <w:t>管理</w:t>
                            </w:r>
                            <w:r>
                              <w:rPr>
                                <w:rFonts w:hint="eastAsia"/>
                                <w:w w:val="100"/>
                                <w:szCs w:val="36"/>
                              </w:rPr>
                              <w:t>总局</w:t>
                            </w:r>
                          </w:p>
                          <w:p w14:paraId="02A683A7">
                            <w:pPr>
                              <w:pStyle w:val="59"/>
                              <w:framePr w:w="0" w:hRule="auto" w:hSpace="0" w:vSpace="0" w:wrap="auto" w:vAnchor="margin" w:hAnchor="text" w:xAlign="left" w:yAlign="inline"/>
                              <w:ind w:firstLine="401" w:firstLineChars="10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w w:val="100"/>
                                <w:szCs w:val="36"/>
                              </w:rPr>
                              <w:t>国家标准化管理委员会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112.05pt;margin-top:682.15pt;height:66.65pt;width:247.75pt;mso-position-horizontal-relative:margin;mso-position-vertical-relative:margin;z-index:251665408;mso-width-relative:page;mso-height-relative:page;" fillcolor="#FFFFFF" filled="t" stroked="f" coordsize="21600,21600" o:gfxdata="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xezE2wAAAA0BAAAPAAAAAAAAAAEAIAAAACIAAABkcnMv&#10;ZG93bnJldi54bWxQSwECFAAUAAAACACHTuJAMhtoz8cBAACmAwAADgAAAAAAAAABACAAAAAqAQAA&#10;ZHJzL2Uyb0RvYy54bWxQSwUGAAAAAAYABgBZAQAAYw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F07B1D2">
                      <w:pPr>
                        <w:pStyle w:val="59"/>
                        <w:ind w:firstLine="401" w:firstLineChars="100"/>
                        <w:jc w:val="center"/>
                        <w:rPr>
                          <w:rStyle w:val="58"/>
                          <w:rFonts w:hint="eastAsia"/>
                        </w:rPr>
                      </w:pPr>
                      <w:r>
                        <w:rPr>
                          <w:rFonts w:hint="eastAsia"/>
                          <w:w w:val="100"/>
                          <w:szCs w:val="36"/>
                        </w:rPr>
                        <w:t>国家</w:t>
                      </w:r>
                      <w:r>
                        <w:rPr>
                          <w:rFonts w:hint="eastAsia"/>
                          <w:w w:val="100"/>
                          <w:szCs w:val="36"/>
                          <w:lang w:val="en-US" w:eastAsia="zh-CN"/>
                        </w:rPr>
                        <w:t>市场</w:t>
                      </w:r>
                      <w:r>
                        <w:rPr>
                          <w:rFonts w:hint="eastAsia"/>
                          <w:w w:val="100"/>
                          <w:szCs w:val="36"/>
                        </w:rPr>
                        <w:t>监督</w:t>
                      </w:r>
                      <w:r>
                        <w:rPr>
                          <w:rFonts w:hint="eastAsia"/>
                          <w:w w:val="100"/>
                          <w:szCs w:val="36"/>
                          <w:lang w:val="en-US" w:eastAsia="zh-CN"/>
                        </w:rPr>
                        <w:t>管理</w:t>
                      </w:r>
                      <w:r>
                        <w:rPr>
                          <w:rFonts w:hint="eastAsia"/>
                          <w:w w:val="100"/>
                          <w:szCs w:val="36"/>
                        </w:rPr>
                        <w:t>总局</w:t>
                      </w:r>
                    </w:p>
                    <w:p w14:paraId="02A683A7">
                      <w:pPr>
                        <w:pStyle w:val="59"/>
                        <w:framePr w:w="0" w:hRule="auto" w:hSpace="0" w:vSpace="0" w:wrap="auto" w:vAnchor="margin" w:hAnchor="text" w:xAlign="left" w:yAlign="inline"/>
                        <w:ind w:firstLine="401" w:firstLineChars="10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w w:val="100"/>
                          <w:szCs w:val="36"/>
                        </w:rPr>
                        <w:t>国家标准化管理委员会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0" t="12700" r="0" b="12700"/>
                <wp:wrapNone/>
                <wp:docPr id="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0pt;margin-top:179pt;height:0pt;width:482pt;z-index:251664384;mso-width-relative:page;mso-height-relative:page;" filled="f" stroked="t" coordsize="21600,21600" o:gfxdata="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P72m/VAAAACAEAAA8AAAAAAAAAAQAgAAAAIgAAAGRycy9kb3ducmV2LnhtbFBLAQIUABQAAAAI&#10;AIdO4kC+8PqA8AEAAPMDAAAOAAAAAAAAAAEAIAAAACQBAABkcnMvZTJvRG9jLnhtbFBLBQYAAAAA&#10;BgAGAFkBAACG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3288665</wp:posOffset>
                </wp:positionV>
                <wp:extent cx="5969000" cy="4681220"/>
                <wp:effectExtent l="0" t="0" r="0" b="5080"/>
                <wp:wrapNone/>
                <wp:docPr id="5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09CC60">
                            <w:pPr>
                              <w:pStyle w:val="64"/>
                              <w:ind w:firstLine="4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纸质印刷品覆膜过程控制及检测方法</w:t>
                            </w:r>
                            <w:r>
                              <w:rPr>
                                <w:rFonts w:hint="eastAsia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部分：水基胶黏剂即涂干式覆膜</w:t>
                            </w:r>
                          </w:p>
                          <w:p w14:paraId="477EEE73">
                            <w:pPr>
                              <w:pStyle w:val="67"/>
                              <w:spacing w:before="156" w:after="156" w:line="360" w:lineRule="auto"/>
                              <w:rPr>
                                <w:rFonts w:hint="eastAsia" w:ascii="黑体" w:eastAsia="黑体"/>
                              </w:rPr>
                            </w:pPr>
                            <w:r>
                              <w:rPr>
                                <w:rFonts w:ascii="黑体" w:eastAsia="黑体"/>
                              </w:rPr>
                              <w:t>Lamination process control and test</w:t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>ing</w:t>
                            </w:r>
                            <w:r>
                              <w:rPr>
                                <w:rFonts w:ascii="黑体" w:eastAsia="黑体"/>
                              </w:rPr>
                              <w:t xml:space="preserve"> method</w:t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>s</w:t>
                            </w:r>
                            <w:r>
                              <w:rPr>
                                <w:rFonts w:ascii="黑体" w:eastAsia="黑体"/>
                              </w:rPr>
                              <w:t xml:space="preserve"> for </w:t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 xml:space="preserve">paper </w:t>
                            </w:r>
                            <w:r>
                              <w:rPr>
                                <w:rFonts w:ascii="黑体" w:eastAsia="黑体"/>
                              </w:rPr>
                              <w:t>prints</w:t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br w:type="textWrapping"/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 xml:space="preserve">— </w:t>
                            </w:r>
                            <w:r>
                              <w:rPr>
                                <w:rFonts w:ascii="黑体" w:eastAsia="黑体"/>
                              </w:rPr>
                              <w:t xml:space="preserve">Part 3: </w:t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>Drying l</w:t>
                            </w:r>
                            <w:r>
                              <w:rPr>
                                <w:rFonts w:ascii="黑体" w:eastAsia="黑体"/>
                              </w:rPr>
                              <w:t>amination with water-based</w:t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/>
                              </w:rPr>
                              <w:t>adhesive</w:t>
                            </w:r>
                            <w:r>
                              <w:rPr>
                                <w:rFonts w:hint="eastAsia" w:ascii="黑体" w:eastAsia="黑体"/>
                              </w:rPr>
                              <w:t xml:space="preserve"> </w:t>
                            </w:r>
                          </w:p>
                          <w:p w14:paraId="4DEB7630">
                            <w:pPr>
                              <w:pStyle w:val="68"/>
                              <w:rPr>
                                <w:rFonts w:hint="default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在提交反馈意见时，请将您知道的相关专利连同支持性文件一并附上。</w:t>
                            </w:r>
                          </w:p>
                          <w:p w14:paraId="0B920917">
                            <w:pPr>
                              <w:pStyle w:val="66"/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征求意见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稿）</w:t>
                            </w:r>
                          </w:p>
                          <w:p w14:paraId="5B28FC36">
                            <w:pPr>
                              <w:pStyle w:val="65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58.95pt;height:368.6pt;width:470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Ixwqz2AAAAAkBAAAPAAAAAAAAAAEAIAAAACIAAABkcnMv&#10;ZG93bnJldi54bWxQSwECFAAUAAAACACHTuJA1kxAoMoBAACnAwAADgAAAAAAAAABACAAAAAnAQAA&#10;ZHJzL2Uyb0RvYy54bWxQSwUGAAAAAAYABgBZAQAAYw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609CC60">
                      <w:pPr>
                        <w:pStyle w:val="64"/>
                        <w:ind w:firstLine="42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纸质印刷品覆膜过程控制及检测方法</w:t>
                      </w:r>
                      <w:r>
                        <w:rPr>
                          <w:rFonts w:hint="eastAsia"/>
                        </w:rPr>
                        <w:br w:type="textWrapping"/>
                      </w:r>
                      <w:r>
                        <w:rPr>
                          <w:rFonts w:hint="eastAsia"/>
                        </w:rPr>
                        <w:t>第</w:t>
                      </w:r>
                      <w:r>
                        <w:t>3</w:t>
                      </w:r>
                      <w:r>
                        <w:rPr>
                          <w:rFonts w:hint="eastAsia"/>
                        </w:rPr>
                        <w:t>部分：水基胶黏剂即涂干式覆膜</w:t>
                      </w:r>
                    </w:p>
                    <w:p w14:paraId="477EEE73">
                      <w:pPr>
                        <w:pStyle w:val="67"/>
                        <w:spacing w:before="156" w:after="156" w:line="360" w:lineRule="auto"/>
                        <w:rPr>
                          <w:rFonts w:hint="eastAsia" w:ascii="黑体" w:eastAsia="黑体"/>
                        </w:rPr>
                      </w:pPr>
                      <w:r>
                        <w:rPr>
                          <w:rFonts w:ascii="黑体" w:eastAsia="黑体"/>
                        </w:rPr>
                        <w:t>Lamination process control and test</w:t>
                      </w:r>
                      <w:r>
                        <w:rPr>
                          <w:rFonts w:hint="eastAsia" w:ascii="黑体" w:eastAsia="黑体"/>
                        </w:rPr>
                        <w:t>ing</w:t>
                      </w:r>
                      <w:r>
                        <w:rPr>
                          <w:rFonts w:ascii="黑体" w:eastAsia="黑体"/>
                        </w:rPr>
                        <w:t xml:space="preserve"> method</w:t>
                      </w:r>
                      <w:r>
                        <w:rPr>
                          <w:rFonts w:hint="eastAsia" w:ascii="黑体" w:eastAsia="黑体"/>
                        </w:rPr>
                        <w:t>s</w:t>
                      </w:r>
                      <w:r>
                        <w:rPr>
                          <w:rFonts w:ascii="黑体" w:eastAsia="黑体"/>
                        </w:rPr>
                        <w:t xml:space="preserve"> for </w:t>
                      </w:r>
                      <w:r>
                        <w:rPr>
                          <w:rFonts w:hint="eastAsia" w:ascii="黑体" w:eastAsia="黑体"/>
                        </w:rPr>
                        <w:t xml:space="preserve">paper </w:t>
                      </w:r>
                      <w:r>
                        <w:rPr>
                          <w:rFonts w:ascii="黑体" w:eastAsia="黑体"/>
                        </w:rPr>
                        <w:t>prints</w:t>
                      </w:r>
                      <w:r>
                        <w:rPr>
                          <w:rFonts w:hint="eastAsia" w:ascii="黑体" w:eastAsia="黑体"/>
                        </w:rPr>
                        <w:br w:type="textWrapping"/>
                      </w:r>
                      <w:r>
                        <w:rPr>
                          <w:rFonts w:hint="eastAsia" w:ascii="黑体" w:eastAsia="黑体"/>
                        </w:rPr>
                        <w:t xml:space="preserve">— </w:t>
                      </w:r>
                      <w:r>
                        <w:rPr>
                          <w:rFonts w:ascii="黑体" w:eastAsia="黑体"/>
                        </w:rPr>
                        <w:t xml:space="preserve">Part 3: </w:t>
                      </w:r>
                      <w:r>
                        <w:rPr>
                          <w:rFonts w:hint="eastAsia" w:ascii="黑体" w:eastAsia="黑体"/>
                        </w:rPr>
                        <w:t>Drying l</w:t>
                      </w:r>
                      <w:r>
                        <w:rPr>
                          <w:rFonts w:ascii="黑体" w:eastAsia="黑体"/>
                        </w:rPr>
                        <w:t>amination with water-based</w:t>
                      </w:r>
                      <w:r>
                        <w:rPr>
                          <w:rFonts w:hint="eastAsia" w:ascii="黑体" w:eastAsia="黑体"/>
                        </w:rPr>
                        <w:t xml:space="preserve"> </w:t>
                      </w:r>
                      <w:r>
                        <w:rPr>
                          <w:rFonts w:ascii="黑体" w:eastAsia="黑体"/>
                        </w:rPr>
                        <w:t>adhesive</w:t>
                      </w:r>
                      <w:r>
                        <w:rPr>
                          <w:rFonts w:hint="eastAsia" w:ascii="黑体" w:eastAsia="黑体"/>
                        </w:rPr>
                        <w:t xml:space="preserve"> </w:t>
                      </w:r>
                    </w:p>
                    <w:p w14:paraId="4DEB7630">
                      <w:pPr>
                        <w:pStyle w:val="68"/>
                        <w:rPr>
                          <w:rFonts w:hint="default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在提交反馈意见时，请将您知道的相关专利连同支持性文件一并附上。</w:t>
                      </w:r>
                    </w:p>
                    <w:p w14:paraId="0B920917">
                      <w:pPr>
                        <w:pStyle w:val="66"/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征求意见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稿）</w:t>
                      </w:r>
                    </w:p>
                    <w:p w14:paraId="5B28FC36">
                      <w:pPr>
                        <w:pStyle w:val="65"/>
                        <w:rPr>
                          <w:rFonts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1270" b="3175"/>
                <wp:wrapNone/>
                <wp:docPr id="4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FC95936">
                            <w:pPr>
                              <w:pStyle w:val="6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t>GB</w:t>
                            </w:r>
                            <w:r>
                              <w:rPr>
                                <w:rFonts w:hint="eastAsia"/>
                              </w:rPr>
                              <w:t>/T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27934</w:t>
                            </w:r>
                            <w:r>
                              <w:t>.3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-</w:t>
                            </w: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2X</w:t>
                            </w:r>
                          </w:p>
                          <w:p w14:paraId="322D6F10">
                            <w:pPr>
                              <w:pStyle w:val="63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FAaT72AAAAAgBAAAPAAAAAAAAAAEAIAAAACIAAABkcnMvZG93&#10;bnJldi54bWxQSwECFAAUAAAACACHTuJAasu8CscBAACmAwAADgAAAAAAAAABACAAAAAnAQAAZHJz&#10;L2Uyb0RvYy54bWxQSwUGAAAAAAYABgBZAQAAY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FC95936">
                      <w:pPr>
                        <w:pStyle w:val="62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t>GB</w:t>
                      </w:r>
                      <w:r>
                        <w:rPr>
                          <w:rFonts w:hint="eastAsia"/>
                        </w:rPr>
                        <w:t>/T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27934</w:t>
                      </w:r>
                      <w:r>
                        <w:t>.3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-</w:t>
                      </w:r>
                      <w:r>
                        <w:t>20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2X</w:t>
                      </w:r>
                    </w:p>
                    <w:p w14:paraId="322D6F10">
                      <w:pPr>
                        <w:pStyle w:val="6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drawing>
          <wp:anchor distT="0" distB="0" distL="114300" distR="114300" simplePos="0" relativeHeight="251661312" behindDoc="0" locked="1" layoutInCell="1" allowOverlap="1">
            <wp:simplePos x="0" y="0"/>
            <wp:positionH relativeFrom="margin">
              <wp:posOffset>4284345</wp:posOffset>
            </wp:positionH>
            <wp:positionV relativeFrom="margin">
              <wp:posOffset>107315</wp:posOffset>
            </wp:positionV>
            <wp:extent cx="1403350" cy="720090"/>
            <wp:effectExtent l="0" t="0" r="6350" b="3810"/>
            <wp:wrapNone/>
            <wp:docPr id="3" name="HBPicture" descr="G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BPicture" descr="GB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1270" b="2540"/>
                <wp:wrapNone/>
                <wp:docPr id="2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5B97026">
                            <w:pPr>
                              <w:pStyle w:val="45"/>
                            </w:pPr>
                            <w:r>
                              <w:rPr>
                                <w:rFonts w:hint="eastAsia"/>
                              </w:rPr>
                              <w:t>中华人民共和国国家标准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GDkcF1wAAAAgBAAAPAAAAAAAAAAEAIAAAACIAAABkcnMvZG93&#10;bnJldi54bWxQSwECFAAUAAAACACHTuJA7DsoP8gBAACmAwAADgAAAAAAAAABACAAAAAmAQAAZHJz&#10;L2Uyb0RvYy54bWxQSwUGAAAAAAYABgBZAQAAY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5B97026">
                      <w:pPr>
                        <w:pStyle w:val="45"/>
                      </w:pPr>
                      <w:r>
                        <w:rPr>
                          <w:rFonts w:hint="eastAsia"/>
                        </w:rPr>
                        <w:t>中华人民共和国国家标准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2540"/>
                <wp:wrapNone/>
                <wp:docPr id="1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48BC6E0">
                            <w:pPr>
                              <w:pStyle w:val="96"/>
                              <w:rPr>
                                <w:rFonts w:hint="eastAsia" w:ascii="黑体"/>
                              </w:rPr>
                            </w:pPr>
                            <w:r>
                              <w:rPr>
                                <w:rFonts w:ascii="黑体"/>
                              </w:rPr>
                              <w:t>ICS 37.100.01</w:t>
                            </w:r>
                          </w:p>
                          <w:p w14:paraId="6D5A5089">
                            <w:pPr>
                              <w:pStyle w:val="96"/>
                              <w:rPr>
                                <w:rFonts w:hint="eastAsia" w:ascii="黑体"/>
                              </w:rPr>
                            </w:pPr>
                            <w:r>
                              <w:rPr>
                                <w:rFonts w:hint="eastAsia" w:ascii="黑体"/>
                                <w:lang w:val="en-US" w:eastAsia="zh-CN"/>
                              </w:rPr>
                              <w:t xml:space="preserve">CCS </w:t>
                            </w:r>
                            <w:r>
                              <w:rPr>
                                <w:rFonts w:ascii="黑体"/>
                              </w:rPr>
                              <w:t>A</w:t>
                            </w:r>
                            <w:r>
                              <w:rPr>
                                <w:rFonts w:hint="eastAsia" w:ascii="黑体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黑体"/>
                              </w:rPr>
                              <w:t>17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Xsy+DTAAAABQEAAA8AAAAAAAAAAQAgAAAAIgAAAGRycy9kb3ducmV2&#10;LnhtbFBLAQIUABQAAAAIAIdO4kDZwOAJyAEAAKYDAAAOAAAAAAAAAAEAIAAAACIBAABkcnMvZTJv&#10;RG9jLnhtbFBLBQYAAAAABgAGAFkBAABc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48BC6E0">
                      <w:pPr>
                        <w:pStyle w:val="96"/>
                        <w:rPr>
                          <w:rFonts w:hint="eastAsia" w:ascii="黑体"/>
                        </w:rPr>
                      </w:pPr>
                      <w:r>
                        <w:rPr>
                          <w:rFonts w:ascii="黑体"/>
                        </w:rPr>
                        <w:t>ICS 37.100.01</w:t>
                      </w:r>
                    </w:p>
                    <w:p w14:paraId="6D5A5089">
                      <w:pPr>
                        <w:pStyle w:val="96"/>
                        <w:rPr>
                          <w:rFonts w:hint="eastAsia" w:ascii="黑体"/>
                        </w:rPr>
                      </w:pPr>
                      <w:r>
                        <w:rPr>
                          <w:rFonts w:hint="eastAsia" w:ascii="黑体"/>
                          <w:lang w:val="en-US" w:eastAsia="zh-CN"/>
                        </w:rPr>
                        <w:t xml:space="preserve">CCS </w:t>
                      </w:r>
                      <w:r>
                        <w:rPr>
                          <w:rFonts w:ascii="黑体"/>
                        </w:rPr>
                        <w:t>A</w:t>
                      </w:r>
                      <w:r>
                        <w:rPr>
                          <w:rFonts w:hint="eastAsia" w:ascii="黑体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黑体"/>
                        </w:rPr>
                        <w:t>17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14:paraId="70D0BB9E">
      <w:pPr>
        <w:pStyle w:val="83"/>
        <w:rPr>
          <w:rFonts w:hint="eastAsia" w:hAnsi="宋体"/>
          <w:szCs w:val="32"/>
        </w:rPr>
      </w:pPr>
      <w:bookmarkStart w:id="1" w:name="SectionMark1"/>
      <w:r>
        <w:rPr>
          <w:rFonts w:hint="eastAsia" w:hAnsi="宋体"/>
          <w:szCs w:val="32"/>
        </w:rPr>
        <w:t>目    次</w:t>
      </w:r>
    </w:p>
    <w:p w14:paraId="44AF378A">
      <w:pPr>
        <w:pStyle w:val="17"/>
        <w:tabs>
          <w:tab w:val="right" w:leader="dot" w:pos="9345"/>
        </w:tabs>
        <w:rPr>
          <w:rFonts w:hAnsi="宋体"/>
          <w:kern w:val="2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 xml:space="preserve"> TOC </w:instrText>
      </w:r>
      <w:r>
        <w:rPr>
          <w:rFonts w:hint="eastAsia" w:hAnsi="宋体"/>
          <w:szCs w:val="21"/>
        </w:rPr>
        <w:instrText xml:space="preserve">\f \h \t "前言、引言标题,附录标识,参考文献、索引标题,章标题,附录章标题"</w:instrText>
      </w:r>
      <w:r>
        <w:rPr>
          <w:rFonts w:hAnsi="宋体"/>
          <w:szCs w:val="21"/>
        </w:rPr>
        <w:instrText xml:space="preserve"> </w:instrText>
      </w:r>
      <w:r>
        <w:rPr>
          <w:rFonts w:hAnsi="宋体"/>
          <w:szCs w:val="21"/>
        </w:rPr>
        <w:fldChar w:fldCharType="separate"/>
      </w:r>
      <w:r>
        <w:rPr>
          <w:rStyle w:val="38"/>
          <w:rFonts w:ascii="宋体" w:hAnsi="宋体"/>
          <w:szCs w:val="21"/>
        </w:rPr>
        <w:fldChar w:fldCharType="begin"/>
      </w:r>
      <w:r>
        <w:rPr>
          <w:rStyle w:val="38"/>
          <w:rFonts w:ascii="宋体" w:hAnsi="宋体"/>
          <w:szCs w:val="21"/>
        </w:rPr>
        <w:instrText xml:space="preserve"> </w:instrText>
      </w:r>
      <w:r>
        <w:rPr>
          <w:rFonts w:hAnsi="宋体"/>
          <w:szCs w:val="21"/>
        </w:rPr>
        <w:instrText xml:space="preserve">HYPERLINK \l "_Toc262047524"</w:instrText>
      </w:r>
      <w:r>
        <w:rPr>
          <w:rStyle w:val="38"/>
          <w:rFonts w:ascii="宋体" w:hAnsi="宋体"/>
          <w:szCs w:val="21"/>
        </w:rPr>
        <w:instrText xml:space="preserve"> </w:instrText>
      </w:r>
      <w:r>
        <w:rPr>
          <w:rStyle w:val="38"/>
          <w:rFonts w:ascii="宋体" w:hAnsi="宋体"/>
          <w:szCs w:val="21"/>
        </w:rPr>
        <w:fldChar w:fldCharType="separate"/>
      </w:r>
      <w:r>
        <w:rPr>
          <w:rStyle w:val="38"/>
          <w:rFonts w:hint="eastAsia" w:ascii="宋体" w:hAnsi="宋体"/>
          <w:szCs w:val="21"/>
        </w:rPr>
        <w:t>前</w:t>
      </w:r>
      <w:r>
        <w:rPr>
          <w:rStyle w:val="38"/>
          <w:rFonts w:ascii="宋体" w:hAnsi="宋体"/>
          <w:szCs w:val="21"/>
        </w:rPr>
        <w:t xml:space="preserve">    </w:t>
      </w:r>
      <w:r>
        <w:rPr>
          <w:rStyle w:val="38"/>
          <w:rFonts w:hint="eastAsia" w:ascii="宋体" w:hAnsi="宋体"/>
          <w:szCs w:val="21"/>
        </w:rPr>
        <w:t>言</w:t>
      </w:r>
      <w:r>
        <w:rPr>
          <w:rFonts w:hAnsi="宋体"/>
          <w:szCs w:val="21"/>
        </w:rPr>
        <w:tab/>
      </w: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 xml:space="preserve"> PAGEREF _Toc262047524 \h </w:instrText>
      </w:r>
      <w:r>
        <w:rPr>
          <w:rFonts w:hAnsi="宋体"/>
          <w:szCs w:val="21"/>
        </w:rPr>
        <w:fldChar w:fldCharType="separate"/>
      </w:r>
      <w:r>
        <w:rPr>
          <w:rFonts w:hAnsi="宋体"/>
          <w:szCs w:val="21"/>
        </w:rPr>
        <w:t>II</w:t>
      </w:r>
      <w:r>
        <w:rPr>
          <w:rFonts w:hAnsi="宋体"/>
          <w:szCs w:val="21"/>
        </w:rPr>
        <w:fldChar w:fldCharType="end"/>
      </w:r>
      <w:r>
        <w:rPr>
          <w:rStyle w:val="38"/>
          <w:rFonts w:ascii="宋体" w:hAnsi="宋体"/>
          <w:szCs w:val="21"/>
        </w:rPr>
        <w:fldChar w:fldCharType="end"/>
      </w:r>
    </w:p>
    <w:p w14:paraId="6BD5C9ED">
      <w:pPr>
        <w:pStyle w:val="14"/>
        <w:rPr>
          <w:kern w:val="2"/>
        </w:rPr>
      </w:pPr>
      <w:r>
        <w:rPr>
          <w:rStyle w:val="38"/>
          <w:rFonts w:ascii="宋体" w:hAnsi="宋体"/>
          <w:szCs w:val="21"/>
        </w:rPr>
        <w:fldChar w:fldCharType="begin"/>
      </w:r>
      <w:r>
        <w:rPr>
          <w:rStyle w:val="38"/>
          <w:rFonts w:ascii="宋体" w:hAnsi="宋体"/>
          <w:szCs w:val="21"/>
        </w:rPr>
        <w:instrText xml:space="preserve"> </w:instrText>
      </w:r>
      <w:r>
        <w:instrText xml:space="preserve">HYPERLINK \l "_Toc262047525"</w:instrText>
      </w:r>
      <w:r>
        <w:rPr>
          <w:rStyle w:val="38"/>
          <w:rFonts w:ascii="宋体" w:hAnsi="宋体"/>
          <w:szCs w:val="21"/>
        </w:rPr>
        <w:instrText xml:space="preserve"> </w:instrText>
      </w:r>
      <w:r>
        <w:rPr>
          <w:rStyle w:val="38"/>
          <w:rFonts w:ascii="宋体" w:hAnsi="宋体"/>
          <w:szCs w:val="21"/>
        </w:rPr>
        <w:fldChar w:fldCharType="separate"/>
      </w:r>
      <w:r>
        <w:rPr>
          <w:rStyle w:val="38"/>
          <w:rFonts w:ascii="宋体" w:hAnsi="宋体"/>
          <w:szCs w:val="21"/>
        </w:rPr>
        <w:t>1</w:t>
      </w:r>
      <w:r>
        <w:rPr>
          <w:kern w:val="2"/>
        </w:rPr>
        <w:tab/>
      </w:r>
      <w:r>
        <w:rPr>
          <w:rStyle w:val="38"/>
          <w:rFonts w:hint="eastAsia" w:ascii="宋体" w:hAnsi="宋体"/>
          <w:szCs w:val="21"/>
        </w:rPr>
        <w:t>范围</w:t>
      </w:r>
      <w:r>
        <w:tab/>
      </w:r>
      <w:r>
        <w:fldChar w:fldCharType="begin"/>
      </w:r>
      <w:r>
        <w:instrText xml:space="preserve"> PAGEREF _Toc262047525 \h </w:instrText>
      </w:r>
      <w:r>
        <w:fldChar w:fldCharType="separate"/>
      </w:r>
      <w:r>
        <w:t>1</w:t>
      </w:r>
      <w:r>
        <w:fldChar w:fldCharType="end"/>
      </w:r>
      <w:r>
        <w:rPr>
          <w:rStyle w:val="38"/>
          <w:rFonts w:ascii="宋体" w:hAnsi="宋体"/>
          <w:szCs w:val="21"/>
        </w:rPr>
        <w:fldChar w:fldCharType="end"/>
      </w:r>
    </w:p>
    <w:p w14:paraId="06AB7A20">
      <w:pPr>
        <w:pStyle w:val="14"/>
        <w:rPr>
          <w:kern w:val="2"/>
        </w:rPr>
      </w:pPr>
      <w:r>
        <w:rPr>
          <w:rStyle w:val="38"/>
          <w:rFonts w:ascii="宋体" w:hAnsi="宋体"/>
          <w:szCs w:val="21"/>
        </w:rPr>
        <w:fldChar w:fldCharType="begin"/>
      </w:r>
      <w:r>
        <w:rPr>
          <w:rStyle w:val="38"/>
          <w:rFonts w:ascii="宋体" w:hAnsi="宋体"/>
          <w:szCs w:val="21"/>
        </w:rPr>
        <w:instrText xml:space="preserve"> </w:instrText>
      </w:r>
      <w:r>
        <w:instrText xml:space="preserve">HYPERLINK \l "_Toc262047526"</w:instrText>
      </w:r>
      <w:r>
        <w:rPr>
          <w:rStyle w:val="38"/>
          <w:rFonts w:ascii="宋体" w:hAnsi="宋体"/>
          <w:szCs w:val="21"/>
        </w:rPr>
        <w:instrText xml:space="preserve"> </w:instrText>
      </w:r>
      <w:r>
        <w:rPr>
          <w:rStyle w:val="38"/>
          <w:rFonts w:ascii="宋体" w:hAnsi="宋体"/>
          <w:szCs w:val="21"/>
        </w:rPr>
        <w:fldChar w:fldCharType="separate"/>
      </w:r>
      <w:r>
        <w:rPr>
          <w:rStyle w:val="38"/>
          <w:rFonts w:ascii="宋体" w:hAnsi="宋体"/>
          <w:szCs w:val="21"/>
        </w:rPr>
        <w:t>2</w:t>
      </w:r>
      <w:r>
        <w:rPr>
          <w:kern w:val="2"/>
        </w:rPr>
        <w:tab/>
      </w:r>
      <w:r>
        <w:rPr>
          <w:rStyle w:val="38"/>
          <w:rFonts w:hint="eastAsia" w:ascii="宋体" w:hAnsi="宋体"/>
          <w:szCs w:val="21"/>
        </w:rPr>
        <w:t>规范性引用文件</w:t>
      </w:r>
      <w:r>
        <w:tab/>
      </w:r>
      <w:r>
        <w:fldChar w:fldCharType="begin"/>
      </w:r>
      <w:r>
        <w:instrText xml:space="preserve"> PAGEREF _Toc262047526 \h </w:instrText>
      </w:r>
      <w:r>
        <w:fldChar w:fldCharType="separate"/>
      </w:r>
      <w:r>
        <w:t>1</w:t>
      </w:r>
      <w:r>
        <w:fldChar w:fldCharType="end"/>
      </w:r>
      <w:r>
        <w:rPr>
          <w:rStyle w:val="38"/>
          <w:rFonts w:ascii="宋体" w:hAnsi="宋体"/>
          <w:szCs w:val="21"/>
        </w:rPr>
        <w:fldChar w:fldCharType="end"/>
      </w:r>
    </w:p>
    <w:p w14:paraId="1B30D804"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</w:rPr>
      </w:pPr>
      <w:r>
        <w:rPr>
          <w:rStyle w:val="38"/>
          <w:rFonts w:ascii="宋体" w:hAnsi="宋体"/>
          <w:szCs w:val="21"/>
        </w:rPr>
        <w:fldChar w:fldCharType="begin"/>
      </w:r>
      <w:r>
        <w:rPr>
          <w:rStyle w:val="38"/>
          <w:rFonts w:ascii="宋体" w:hAnsi="宋体"/>
          <w:szCs w:val="21"/>
        </w:rPr>
        <w:instrText xml:space="preserve"> </w:instrText>
      </w:r>
      <w:r>
        <w:instrText xml:space="preserve">HYPERLINK \l "_Toc262047527"</w:instrText>
      </w:r>
      <w:r>
        <w:rPr>
          <w:rStyle w:val="38"/>
          <w:rFonts w:ascii="宋体" w:hAnsi="宋体"/>
          <w:szCs w:val="21"/>
        </w:rPr>
        <w:instrText xml:space="preserve"> </w:instrText>
      </w:r>
      <w:r>
        <w:rPr>
          <w:rStyle w:val="38"/>
          <w:rFonts w:ascii="宋体" w:hAnsi="宋体"/>
          <w:szCs w:val="21"/>
        </w:rPr>
        <w:fldChar w:fldCharType="separate"/>
      </w:r>
      <w:r>
        <w:rPr>
          <w:rStyle w:val="38"/>
          <w:rFonts w:ascii="宋体" w:hAnsi="宋体"/>
          <w:szCs w:val="21"/>
        </w:rPr>
        <w:t>3</w:t>
      </w:r>
      <w:r>
        <w:rPr>
          <w:kern w:val="2"/>
        </w:rPr>
        <w:tab/>
      </w:r>
      <w:r>
        <w:rPr>
          <w:rStyle w:val="38"/>
          <w:rFonts w:hint="eastAsia" w:ascii="宋体" w:hAnsi="宋体"/>
          <w:szCs w:val="21"/>
        </w:rPr>
        <w:t>术语和定义</w:t>
      </w:r>
      <w:r>
        <w:tab/>
      </w:r>
      <w:r>
        <w:fldChar w:fldCharType="begin"/>
      </w:r>
      <w:r>
        <w:instrText xml:space="preserve"> PAGEREF _Toc262047527 \h </w:instrText>
      </w:r>
      <w:r>
        <w:fldChar w:fldCharType="separate"/>
      </w:r>
      <w:r>
        <w:t>1</w:t>
      </w:r>
      <w:r>
        <w:fldChar w:fldCharType="end"/>
      </w:r>
      <w:r>
        <w:rPr>
          <w:rStyle w:val="38"/>
          <w:rFonts w:ascii="宋体" w:hAnsi="宋体"/>
          <w:szCs w:val="21"/>
        </w:rPr>
        <w:fldChar w:fldCharType="end"/>
      </w:r>
    </w:p>
    <w:p w14:paraId="2C25059C">
      <w:pPr>
        <w:pStyle w:val="14"/>
        <w:rPr>
          <w:kern w:val="2"/>
        </w:rPr>
      </w:pPr>
      <w:r>
        <w:rPr>
          <w:rStyle w:val="38"/>
          <w:rFonts w:ascii="宋体" w:hAnsi="宋体"/>
          <w:szCs w:val="21"/>
        </w:rPr>
        <w:fldChar w:fldCharType="begin"/>
      </w:r>
      <w:r>
        <w:rPr>
          <w:rStyle w:val="38"/>
          <w:rFonts w:ascii="宋体" w:hAnsi="宋体"/>
          <w:szCs w:val="21"/>
        </w:rPr>
        <w:instrText xml:space="preserve"> </w:instrText>
      </w:r>
      <w:r>
        <w:instrText xml:space="preserve">HYPERLINK \l "_Toc262047529"</w:instrText>
      </w:r>
      <w:r>
        <w:rPr>
          <w:rStyle w:val="38"/>
          <w:rFonts w:ascii="宋体" w:hAnsi="宋体"/>
          <w:szCs w:val="21"/>
        </w:rPr>
        <w:instrText xml:space="preserve"> </w:instrText>
      </w:r>
      <w:r>
        <w:rPr>
          <w:rStyle w:val="38"/>
          <w:rFonts w:ascii="宋体" w:hAnsi="宋体"/>
          <w:szCs w:val="21"/>
        </w:rPr>
        <w:fldChar w:fldCharType="separate"/>
      </w:r>
      <w:r>
        <w:rPr>
          <w:rStyle w:val="38"/>
          <w:rFonts w:ascii="宋体" w:hAnsi="宋体"/>
          <w:szCs w:val="21"/>
        </w:rPr>
        <w:t>4</w:t>
      </w:r>
      <w:r>
        <w:rPr>
          <w:kern w:val="2"/>
        </w:rPr>
        <w:tab/>
      </w:r>
      <w:r>
        <w:rPr>
          <w:rStyle w:val="38"/>
          <w:rFonts w:hint="eastAsia" w:hAnsi="宋体"/>
          <w:szCs w:val="21"/>
          <w:lang w:val="en-US" w:eastAsia="zh-CN"/>
        </w:rPr>
        <w:t>技术</w:t>
      </w:r>
      <w:r>
        <w:rPr>
          <w:rStyle w:val="38"/>
          <w:rFonts w:hint="eastAsia" w:ascii="宋体" w:hAnsi="宋体"/>
          <w:szCs w:val="21"/>
        </w:rPr>
        <w:t>要求</w:t>
      </w:r>
      <w:r>
        <w:tab/>
      </w:r>
      <w:r>
        <w:fldChar w:fldCharType="begin"/>
      </w:r>
      <w:r>
        <w:instrText xml:space="preserve"> PAGEREF _Toc262047529 \h </w:instrText>
      </w:r>
      <w:r>
        <w:fldChar w:fldCharType="separate"/>
      </w:r>
      <w:r>
        <w:t>1</w:t>
      </w:r>
      <w:r>
        <w:fldChar w:fldCharType="end"/>
      </w:r>
      <w:r>
        <w:rPr>
          <w:rStyle w:val="38"/>
          <w:rFonts w:ascii="宋体" w:hAnsi="宋体"/>
          <w:szCs w:val="21"/>
        </w:rPr>
        <w:fldChar w:fldCharType="end"/>
      </w:r>
    </w:p>
    <w:p w14:paraId="28EE1087">
      <w:pPr>
        <w:pStyle w:val="14"/>
        <w:rPr>
          <w:kern w:val="2"/>
        </w:rPr>
      </w:pPr>
      <w:r>
        <w:rPr>
          <w:rStyle w:val="38"/>
          <w:rFonts w:ascii="宋体" w:hAnsi="宋体"/>
          <w:szCs w:val="21"/>
        </w:rPr>
        <w:fldChar w:fldCharType="begin"/>
      </w:r>
      <w:r>
        <w:rPr>
          <w:rStyle w:val="38"/>
          <w:rFonts w:ascii="宋体" w:hAnsi="宋体"/>
          <w:szCs w:val="21"/>
        </w:rPr>
        <w:instrText xml:space="preserve"> </w:instrText>
      </w:r>
      <w:r>
        <w:instrText xml:space="preserve">HYPERLINK \l "_Toc262047530"</w:instrText>
      </w:r>
      <w:r>
        <w:rPr>
          <w:rStyle w:val="38"/>
          <w:rFonts w:ascii="宋体" w:hAnsi="宋体"/>
          <w:szCs w:val="21"/>
        </w:rPr>
        <w:instrText xml:space="preserve"> </w:instrText>
      </w:r>
      <w:r>
        <w:rPr>
          <w:rStyle w:val="38"/>
          <w:rFonts w:ascii="宋体" w:hAnsi="宋体"/>
          <w:szCs w:val="21"/>
        </w:rPr>
        <w:fldChar w:fldCharType="separate"/>
      </w:r>
      <w:r>
        <w:rPr>
          <w:rStyle w:val="38"/>
          <w:rFonts w:ascii="宋体" w:hAnsi="宋体"/>
          <w:szCs w:val="21"/>
        </w:rPr>
        <w:t>5</w:t>
      </w:r>
      <w:r>
        <w:rPr>
          <w:kern w:val="2"/>
        </w:rPr>
        <w:tab/>
      </w:r>
      <w:r>
        <w:rPr>
          <w:rStyle w:val="38"/>
          <w:rFonts w:hint="eastAsia" w:hAnsi="宋体"/>
          <w:szCs w:val="21"/>
          <w:lang w:val="en-US" w:eastAsia="zh-CN"/>
        </w:rPr>
        <w:t>检测方法</w:t>
      </w:r>
      <w:r>
        <w:tab/>
      </w:r>
      <w:r>
        <w:rPr>
          <w:rFonts w:hint="eastAsia"/>
          <w:lang w:val="en-US" w:eastAsia="zh-CN"/>
        </w:rPr>
        <w:t>4</w:t>
      </w:r>
      <w:r>
        <w:rPr>
          <w:rStyle w:val="38"/>
          <w:rFonts w:ascii="宋体" w:hAnsi="宋体"/>
          <w:szCs w:val="21"/>
        </w:rPr>
        <w:fldChar w:fldCharType="end"/>
      </w:r>
    </w:p>
    <w:p w14:paraId="0BDA0CA1">
      <w:pPr>
        <w:pStyle w:val="84"/>
        <w:sectPr>
          <w:headerReference r:id="rId11" w:type="default"/>
          <w:footerReference r:id="rId13" w:type="default"/>
          <w:headerReference r:id="rId12" w:type="even"/>
          <w:footerReference r:id="rId14" w:type="even"/>
          <w:pgSz w:w="11907" w:h="16839"/>
          <w:pgMar w:top="1418" w:right="1134" w:bottom="1134" w:left="1418" w:header="1418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720" w:num="1"/>
          <w:docGrid w:type="lines" w:linePitch="312" w:charSpace="0"/>
        </w:sectPr>
      </w:pPr>
      <w:r>
        <w:rPr>
          <w:rFonts w:hAnsi="宋体"/>
          <w:szCs w:val="21"/>
        </w:rPr>
        <w:fldChar w:fldCharType="end"/>
      </w:r>
      <w:bookmarkEnd w:id="1"/>
      <w:bookmarkStart w:id="2" w:name="_Toc262047524"/>
      <w:bookmarkStart w:id="3" w:name="SectionMark2"/>
    </w:p>
    <w:p w14:paraId="6B030510">
      <w:pPr>
        <w:pStyle w:val="8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前    言</w:t>
      </w:r>
      <w:bookmarkEnd w:id="2"/>
    </w:p>
    <w:p w14:paraId="132075DF">
      <w:pPr>
        <w:pStyle w:val="53"/>
        <w:keepNext w:val="0"/>
        <w:keepLines w:val="0"/>
        <w:pageBreakBefore w:val="0"/>
        <w:widowControl/>
        <w:tabs>
          <w:tab w:val="left" w:pos="93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文件</w:t>
      </w:r>
      <w:r>
        <w:rPr>
          <w:rFonts w:hint="eastAsia"/>
        </w:rPr>
        <w:t>按照GB/T 1.1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20《标准化工作导则  第1部分：标准化文件的结构和起草规则》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规定</w:t>
      </w:r>
      <w:r>
        <w:rPr>
          <w:rFonts w:hint="eastAsia"/>
        </w:rPr>
        <w:t>起草。</w:t>
      </w:r>
    </w:p>
    <w:p w14:paraId="5468A2C3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本文件是</w:t>
      </w:r>
      <w:r>
        <w:rPr>
          <w:rFonts w:ascii="宋体" w:hAnsi="宋体"/>
        </w:rPr>
        <w:t>GB</w:t>
      </w:r>
      <w:r>
        <w:rPr>
          <w:rFonts w:hint="eastAsia" w:ascii="宋体" w:hAnsi="宋体"/>
        </w:rPr>
        <w:t>/T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>27934</w:t>
      </w:r>
      <w:r>
        <w:rPr>
          <w:rFonts w:hint="eastAsia"/>
        </w:rPr>
        <w:t>《纸质印刷品覆膜过程控制及检测方法》</w:t>
      </w:r>
      <w:r>
        <w:rPr>
          <w:rFonts w:hint="eastAsia"/>
          <w:lang w:val="en-US" w:eastAsia="zh-CN"/>
        </w:rPr>
        <w:t>的第3部分</w:t>
      </w:r>
      <w:r>
        <w:rPr>
          <w:rFonts w:hint="eastAsia"/>
        </w:rPr>
        <w:t>，</w:t>
      </w:r>
      <w:r>
        <w:rPr>
          <w:rFonts w:ascii="宋体" w:hAnsi="宋体"/>
        </w:rPr>
        <w:t>GB</w:t>
      </w:r>
      <w:r>
        <w:rPr>
          <w:rFonts w:hint="eastAsia" w:ascii="宋体" w:hAnsi="宋体"/>
        </w:rPr>
        <w:t>/T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>27934</w:t>
      </w:r>
      <w:r>
        <w:rPr>
          <w:rFonts w:hint="eastAsia"/>
        </w:rPr>
        <w:t>已经发布以下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部分：</w:t>
      </w:r>
    </w:p>
    <w:p w14:paraId="08A9D8B5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——第1部分：基本要求；</w:t>
      </w:r>
    </w:p>
    <w:p w14:paraId="7EB938DF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——第2部分：乙烯-醋酸乙烯共聚物（EVA）热熔胶预涂覆膜；</w:t>
      </w:r>
    </w:p>
    <w:p w14:paraId="4F5F6FCB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——第3部分：水基胶黏剂即涂干式覆膜；</w:t>
      </w:r>
    </w:p>
    <w:p w14:paraId="09B7413B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——第4部分：反应型聚氨酯（PUR）热熔胶即涂覆膜；</w:t>
      </w:r>
    </w:p>
    <w:p w14:paraId="42471755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lang w:val="en-US" w:eastAsia="zh-CN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文件代替</w:t>
      </w:r>
      <w:r>
        <w:rPr>
          <w:rFonts w:ascii="宋体" w:hAnsi="宋体"/>
        </w:rPr>
        <w:t>GB</w:t>
      </w:r>
      <w:r>
        <w:rPr>
          <w:rFonts w:hint="eastAsia" w:ascii="宋体" w:hAnsi="宋体"/>
        </w:rPr>
        <w:t>/T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>27934.3</w:t>
      </w:r>
      <w:r>
        <w:rPr>
          <w:rFonts w:hint="eastAsia" w:hAnsi="宋体"/>
          <w:lang w:val="en-US" w:eastAsia="zh-CN"/>
        </w:rPr>
        <w:t>-</w:t>
      </w:r>
      <w:r>
        <w:rPr>
          <w:rFonts w:hint="eastAsia" w:ascii="宋体" w:hAnsi="宋体"/>
          <w:lang w:val="en-US" w:eastAsia="zh-CN"/>
        </w:rPr>
        <w:t>2011</w:t>
      </w:r>
      <w:r>
        <w:rPr>
          <w:rFonts w:hint="eastAsia"/>
        </w:rPr>
        <w:t>《纸质印刷品覆膜过程控制及检测方法》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与</w:t>
      </w:r>
      <w:r>
        <w:rPr>
          <w:rFonts w:ascii="宋体" w:hAnsi="宋体"/>
        </w:rPr>
        <w:t>GB</w:t>
      </w:r>
      <w:r>
        <w:rPr>
          <w:rFonts w:hint="eastAsia" w:ascii="宋体" w:hAnsi="宋体"/>
        </w:rPr>
        <w:t>/T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>27934.3</w:t>
      </w:r>
      <w:r>
        <w:rPr>
          <w:rFonts w:hint="eastAsia" w:hAnsi="宋体"/>
          <w:lang w:val="en-US" w:eastAsia="zh-CN"/>
        </w:rPr>
        <w:t>-</w:t>
      </w:r>
      <w:r>
        <w:rPr>
          <w:rFonts w:hint="eastAsia" w:ascii="宋体" w:hAnsi="宋体"/>
          <w:lang w:val="en-US" w:eastAsia="zh-CN"/>
        </w:rPr>
        <w:t>2011相比，除结构调整和编辑性改动外，主要技术变化如下：</w:t>
      </w:r>
    </w:p>
    <w:p w14:paraId="1B19B5E9">
      <w:pPr>
        <w:pStyle w:val="53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/>
          <w:lang w:val="en-US" w:eastAsia="zh-CN"/>
        </w:rPr>
      </w:pPr>
      <w:r>
        <w:rPr>
          <w:rFonts w:hint="eastAsia" w:hAnsi="宋体"/>
          <w:lang w:val="en-US" w:eastAsia="zh-CN"/>
        </w:rPr>
        <w:t xml:space="preserve">删除了“原材料要求”“工艺要求”“设备要求”“成品质量要求”四章（见2011年版第4、    </w:t>
      </w:r>
    </w:p>
    <w:p w14:paraId="50450A1A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840" w:firstLineChars="400"/>
        <w:textAlignment w:val="auto"/>
        <w:rPr>
          <w:rFonts w:hint="default" w:hAnsi="宋体"/>
          <w:lang w:val="en-US" w:eastAsia="zh-CN"/>
        </w:rPr>
      </w:pPr>
      <w:r>
        <w:rPr>
          <w:rFonts w:hint="eastAsia" w:hAnsi="宋体"/>
          <w:lang w:val="en-US" w:eastAsia="zh-CN"/>
        </w:rPr>
        <w:t>5、6、7章），将其技术内容合并为“技术要求”（见第4章）；</w:t>
      </w:r>
    </w:p>
    <w:p w14:paraId="3F3C998D">
      <w:pPr>
        <w:pStyle w:val="53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default" w:hAnsi="宋体"/>
          <w:lang w:val="en-US" w:eastAsia="zh-CN"/>
        </w:rPr>
      </w:pPr>
      <w:r>
        <w:rPr>
          <w:rFonts w:hint="eastAsia" w:hAnsi="宋体"/>
          <w:lang w:val="en-US" w:eastAsia="zh-CN"/>
        </w:rPr>
        <w:t>删除了“成品储存、运输要求”一章（见2011年版第8章）；</w:t>
      </w:r>
    </w:p>
    <w:p w14:paraId="4CE58921">
      <w:pPr>
        <w:pStyle w:val="53"/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default" w:hAnsi="宋体"/>
          <w:lang w:val="en-US" w:eastAsia="zh-CN"/>
        </w:rPr>
      </w:pPr>
      <w:r>
        <w:rPr>
          <w:rFonts w:hint="eastAsia" w:hAnsi="宋体"/>
          <w:lang w:val="en-US" w:eastAsia="zh-CN"/>
        </w:rPr>
        <w:t>增加了水基胶黏剂中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邻苯二甲酸酯、可溶性元素含量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的技术要求（见4.1.1.2）和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挥发性有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 xml:space="preserve">         </w:t>
      </w:r>
    </w:p>
    <w:p w14:paraId="065A0C4C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840" w:firstLineChars="400"/>
        <w:textAlignment w:val="auto"/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机化合物限量（VOC）的限量值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技术要求（见4.1.1.3）；</w:t>
      </w:r>
    </w:p>
    <w:p w14:paraId="089CB614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420" w:leftChars="0"/>
        <w:textAlignment w:val="auto"/>
        <w:rPr>
          <w:rFonts w:hint="default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d) 更改了</w:t>
      </w:r>
      <w:r>
        <w:rPr>
          <w:rFonts w:hint="eastAsia" w:hAnsi="宋体"/>
          <w:lang w:val="en-US" w:eastAsia="zh-CN"/>
        </w:rPr>
        <w:t xml:space="preserve">水基胶黏剂中固含量技术要求（见4.1.1.4,2011年版4.1.2）、黏度技术要求（见           </w:t>
      </w:r>
    </w:p>
    <w:p w14:paraId="3A3FC1D7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420" w:leftChars="0" w:firstLine="420" w:firstLineChars="200"/>
        <w:textAlignment w:val="auto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4.1.1.5,2011年版4.1.3）和酸碱度技术要求（见4.1.1.6,2011年版4.1.4）;</w:t>
      </w:r>
    </w:p>
    <w:p w14:paraId="1C9783D1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hAnsi="宋体"/>
          <w:lang w:val="en-US" w:eastAsia="zh-CN"/>
        </w:rPr>
      </w:pPr>
      <w:r>
        <w:rPr>
          <w:rFonts w:hint="eastAsia" w:hAnsi="宋体"/>
          <w:lang w:val="en-US" w:eastAsia="zh-CN"/>
        </w:rPr>
        <w:t>e) 增加了纸张酸碱性要求（见4.1.3.2）;</w:t>
      </w:r>
    </w:p>
    <w:p w14:paraId="5A2E560A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f) 更改了设备要求中烘干装置的技术要求（见4.2.2,2011年版6.2）和热压辊的技术要求（见</w:t>
      </w:r>
    </w:p>
    <w:p w14:paraId="7B9C7312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840" w:firstLineChars="400"/>
        <w:textAlignment w:val="auto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4.2.3,2011年版6.3）;</w:t>
      </w:r>
    </w:p>
    <w:p w14:paraId="37334557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g) 增加了覆膜前的技术准备条款（见4.3.1.1、4.3.1.3、4.3.1.4、4.3.1.5、4.3.1.6）；</w:t>
      </w:r>
    </w:p>
    <w:p w14:paraId="2FCC07AD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h) 更改了覆膜工艺温度的技术要求（见4.3.3,2011年版5.3）；</w:t>
      </w:r>
    </w:p>
    <w:p w14:paraId="0AA2AF80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i) 更改了覆膜速度的技术要求（见4.3.4,2011年版5.4）；</w:t>
      </w:r>
    </w:p>
    <w:p w14:paraId="384A7B87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hAnsi="宋体"/>
          <w:lang w:val="en-US" w:eastAsia="zh-CN"/>
        </w:rPr>
      </w:pPr>
      <w:r>
        <w:rPr>
          <w:rFonts w:hint="eastAsia" w:hAnsi="宋体"/>
          <w:lang w:val="en-US" w:eastAsia="zh-CN"/>
        </w:rPr>
        <w:t>j) 更改了覆膜压强的技术要求（见4.3.5,2011年版5.5）；</w:t>
      </w:r>
    </w:p>
    <w:p w14:paraId="3908C786">
      <w:pPr>
        <w:pStyle w:val="5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default" w:hAnsi="宋体"/>
          <w:lang w:val="en-US" w:eastAsia="zh-CN"/>
        </w:rPr>
      </w:pPr>
      <w:r>
        <w:rPr>
          <w:rFonts w:hint="eastAsia" w:hAnsi="宋体"/>
          <w:lang w:val="en-US" w:eastAsia="zh-CN"/>
        </w:rPr>
        <w:t>k) 更改了涂胶量的技术要求（见4.3.7,2011年版5.7）。</w:t>
      </w:r>
    </w:p>
    <w:p w14:paraId="5072134F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请注意本文件的某些内容可能涉及专利。本文件的发布机构不承担识别这些专利的责任。</w:t>
      </w:r>
    </w:p>
    <w:p w14:paraId="3E735F89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文件</w:t>
      </w:r>
      <w:r>
        <w:rPr>
          <w:rFonts w:hint="eastAsia"/>
        </w:rPr>
        <w:t>由全国印刷标准化技术委员会（SAC/TC 170）</w:t>
      </w:r>
      <w:r>
        <w:rPr>
          <w:rFonts w:hint="eastAsia"/>
          <w:lang w:val="en-US" w:eastAsia="zh-CN"/>
        </w:rPr>
        <w:t>提出并</w:t>
      </w:r>
      <w:r>
        <w:rPr>
          <w:rFonts w:hint="eastAsia"/>
        </w:rPr>
        <w:t>归口。</w:t>
      </w:r>
    </w:p>
    <w:p w14:paraId="1843C0B4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文件起草单位：</w:t>
      </w:r>
      <w:r>
        <w:rPr>
          <w:rFonts w:hint="eastAsia"/>
          <w:color w:val="auto"/>
          <w:lang w:val="en-US" w:eastAsia="zh-CN"/>
        </w:rPr>
        <w:t>广东星宇耐力新材料股份有限公司、鹤山雅图仕印刷有限公司、东莞市冠力胶业有限公司、广东毅科新材料有限公司、广东德冠薄膜新材料股份有限公司、中国印刷技术协会</w:t>
      </w:r>
      <w:r>
        <w:rPr>
          <w:rFonts w:hint="eastAsia"/>
        </w:rPr>
        <w:t>。</w:t>
      </w:r>
    </w:p>
    <w:p w14:paraId="4A8EEDAD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文件</w:t>
      </w:r>
      <w:r>
        <w:rPr>
          <w:rFonts w:hint="eastAsia"/>
        </w:rPr>
        <w:t>主要起草人：赖淦荷</w:t>
      </w:r>
      <w:r>
        <w:rPr>
          <w:rFonts w:hint="eastAsia"/>
          <w:lang w:eastAsia="zh-CN"/>
        </w:rPr>
        <w:t>、</w:t>
      </w:r>
      <w:r>
        <w:rPr>
          <w:rFonts w:hint="eastAsia"/>
        </w:rPr>
        <w:t>蒋颜平</w:t>
      </w:r>
      <w:r>
        <w:rPr>
          <w:rFonts w:hint="eastAsia"/>
          <w:lang w:eastAsia="zh-CN"/>
        </w:rPr>
        <w:t>、</w:t>
      </w:r>
      <w:r>
        <w:rPr>
          <w:rFonts w:hint="eastAsia"/>
        </w:rPr>
        <w:t>邓国康</w:t>
      </w:r>
      <w:r>
        <w:rPr>
          <w:rFonts w:hint="eastAsia"/>
          <w:lang w:eastAsia="zh-CN"/>
        </w:rPr>
        <w:t>、</w:t>
      </w:r>
      <w:r>
        <w:rPr>
          <w:rFonts w:hint="eastAsia"/>
        </w:rPr>
        <w:t>劳雪金</w:t>
      </w:r>
      <w:r>
        <w:rPr>
          <w:rFonts w:hint="eastAsia"/>
          <w:lang w:eastAsia="zh-CN"/>
        </w:rPr>
        <w:t>、</w:t>
      </w:r>
      <w:r>
        <w:rPr>
          <w:rFonts w:hint="eastAsia"/>
        </w:rPr>
        <w:t>赵建国</w:t>
      </w:r>
      <w:r>
        <w:rPr>
          <w:rFonts w:hint="eastAsia"/>
          <w:lang w:eastAsia="zh-CN"/>
        </w:rPr>
        <w:t>、</w:t>
      </w:r>
      <w:r>
        <w:rPr>
          <w:rFonts w:hint="eastAsia"/>
        </w:rPr>
        <w:t>胡敏生</w:t>
      </w:r>
      <w:r>
        <w:rPr>
          <w:rFonts w:hint="eastAsia"/>
          <w:lang w:eastAsia="zh-CN"/>
        </w:rPr>
        <w:t>、</w:t>
      </w:r>
      <w:r>
        <w:rPr>
          <w:rFonts w:hint="eastAsia"/>
        </w:rPr>
        <w:t>赵烨</w:t>
      </w:r>
      <w:r>
        <w:rPr>
          <w:rFonts w:hint="eastAsia"/>
          <w:lang w:eastAsia="zh-CN"/>
        </w:rPr>
        <w:t>、</w:t>
      </w:r>
      <w:r>
        <w:rPr>
          <w:rFonts w:hint="eastAsia"/>
        </w:rPr>
        <w:t>黄裕锟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张丽等</w:t>
      </w:r>
      <w:r>
        <w:rPr>
          <w:rFonts w:hint="eastAsia"/>
        </w:rPr>
        <w:t>。</w:t>
      </w:r>
    </w:p>
    <w:p w14:paraId="6CF421F6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本文件及其所代替文件的历次版本发布情况为：</w:t>
      </w:r>
    </w:p>
    <w:p w14:paraId="32C70B74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——2011年首次发布为</w:t>
      </w:r>
      <w:r>
        <w:rPr>
          <w:rFonts w:hint="default" w:eastAsia="宋体"/>
          <w:color w:val="auto"/>
          <w:lang w:val="en-US" w:eastAsia="zh-CN"/>
        </w:rPr>
        <w:t>GB/T 27934.3</w:t>
      </w:r>
      <w:r>
        <w:rPr>
          <w:rFonts w:hint="eastAsia"/>
          <w:color w:val="auto"/>
          <w:lang w:val="en-US" w:eastAsia="zh-CN"/>
        </w:rPr>
        <w:t>-</w:t>
      </w:r>
      <w:r>
        <w:rPr>
          <w:rFonts w:hint="default" w:eastAsia="宋体"/>
          <w:color w:val="auto"/>
          <w:lang w:val="en-US" w:eastAsia="zh-CN"/>
        </w:rPr>
        <w:t>2011</w:t>
      </w:r>
      <w:r>
        <w:rPr>
          <w:rFonts w:hint="eastAsia"/>
          <w:color w:val="auto"/>
          <w:lang w:val="en-US" w:eastAsia="zh-CN"/>
        </w:rPr>
        <w:t>；</w:t>
      </w:r>
    </w:p>
    <w:p w14:paraId="17AC7DF0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/>
          <w:color w:val="auto"/>
          <w:lang w:val="en-US" w:eastAsia="zh-CN"/>
        </w:rPr>
        <w:sectPr>
          <w:headerReference r:id="rId15" w:type="default"/>
          <w:footerReference r:id="rId17" w:type="default"/>
          <w:headerReference r:id="rId16" w:type="even"/>
          <w:footerReference r:id="rId18" w:type="even"/>
          <w:pgSz w:w="11907" w:h="16839"/>
          <w:pgMar w:top="1418" w:right="1129" w:bottom="1134" w:left="1658" w:header="1418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720" w:num="1"/>
          <w:docGrid w:type="lines" w:linePitch="312" w:charSpace="0"/>
        </w:sectPr>
      </w:pPr>
      <w:r>
        <w:rPr>
          <w:rFonts w:hint="eastAsia"/>
          <w:color w:val="auto"/>
          <w:lang w:val="en-US" w:eastAsia="zh-CN"/>
        </w:rPr>
        <w:t>——本次为第一次修订。</w:t>
      </w:r>
      <w:bookmarkStart w:id="18" w:name="_GoBack"/>
      <w:bookmarkEnd w:id="18"/>
    </w:p>
    <w:bookmarkEnd w:id="3"/>
    <w:p w14:paraId="796BD5D7">
      <w:pPr>
        <w:overflowPunct w:val="0"/>
        <w:autoSpaceDE w:val="0"/>
        <w:autoSpaceDN w:val="0"/>
        <w:jc w:val="center"/>
        <w:rPr>
          <w:rFonts w:hint="eastAsia"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纸质印刷品覆膜过程控制及检测方法</w:t>
      </w:r>
    </w:p>
    <w:p w14:paraId="6F94EE56">
      <w:pPr>
        <w:overflowPunct w:val="0"/>
        <w:autoSpaceDE w:val="0"/>
        <w:autoSpaceDN w:val="0"/>
        <w:jc w:val="center"/>
        <w:rPr>
          <w:rFonts w:hint="eastAsia"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第</w:t>
      </w:r>
      <w:r>
        <w:rPr>
          <w:rFonts w:ascii="黑体" w:eastAsia="黑体"/>
          <w:color w:val="000000"/>
          <w:sz w:val="32"/>
        </w:rPr>
        <w:t>3</w:t>
      </w:r>
      <w:r>
        <w:rPr>
          <w:rFonts w:hint="eastAsia" w:ascii="黑体" w:eastAsia="黑体"/>
          <w:color w:val="000000"/>
          <w:sz w:val="32"/>
        </w:rPr>
        <w:t>部分：水基胶黏剂即涂干式覆膜</w:t>
      </w:r>
    </w:p>
    <w:p w14:paraId="689CFB7B">
      <w:pPr>
        <w:spacing w:line="120" w:lineRule="exact"/>
        <w:ind w:right="28"/>
        <w:rPr>
          <w:rFonts w:hint="eastAsia" w:ascii="宋体"/>
          <w:b/>
          <w:sz w:val="10"/>
        </w:rPr>
      </w:pPr>
    </w:p>
    <w:p w14:paraId="49438C35">
      <w:pPr>
        <w:pStyle w:val="54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363" w:hanging="363"/>
        <w:textAlignment w:val="auto"/>
        <w:rPr>
          <w:rFonts w:hint="eastAsia" w:ascii="黑体" w:hAnsi="黑体" w:eastAsia="黑体" w:cs="黑体"/>
        </w:rPr>
      </w:pPr>
      <w:bookmarkStart w:id="4" w:name="_Toc262047525"/>
      <w:r>
        <w:rPr>
          <w:rFonts w:hint="eastAsia" w:ascii="黑体" w:hAnsi="黑体" w:eastAsia="黑体" w:cs="黑体"/>
        </w:rPr>
        <w:t>范围</w:t>
      </w:r>
      <w:bookmarkEnd w:id="4"/>
    </w:p>
    <w:p w14:paraId="34906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文件</w:t>
      </w:r>
      <w:r>
        <w:rPr>
          <w:rFonts w:hint="eastAsia" w:ascii="宋体" w:hAnsi="宋体" w:eastAsia="宋体" w:cs="宋体"/>
          <w:sz w:val="21"/>
          <w:szCs w:val="21"/>
        </w:rPr>
        <w:t>规定了水基胶黏剂即涂干式覆膜的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技术要求，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给出了对应的检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方法</w:t>
      </w:r>
      <w:bookmarkStart w:id="5" w:name="_Toc430680186"/>
      <w:bookmarkStart w:id="6" w:name="_Toc431105882"/>
      <w:bookmarkStart w:id="7" w:name="_Toc470598151"/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760DA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文件</w:t>
      </w:r>
      <w:r>
        <w:rPr>
          <w:rFonts w:hint="eastAsia" w:ascii="宋体" w:hAnsi="宋体" w:eastAsia="宋体" w:cs="宋体"/>
          <w:sz w:val="21"/>
          <w:szCs w:val="21"/>
        </w:rPr>
        <w:t>适用于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使用</w:t>
      </w:r>
      <w:r>
        <w:rPr>
          <w:rFonts w:hint="eastAsia" w:ascii="宋体" w:hAnsi="宋体" w:eastAsia="宋体" w:cs="宋体"/>
          <w:sz w:val="21"/>
          <w:szCs w:val="21"/>
        </w:rPr>
        <w:t>水基胶黏剂将薄膜与纸质印刷品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进行</w:t>
      </w:r>
      <w:r>
        <w:rPr>
          <w:rFonts w:hint="eastAsia" w:ascii="宋体" w:hAnsi="宋体" w:eastAsia="宋体" w:cs="宋体"/>
          <w:sz w:val="21"/>
          <w:szCs w:val="21"/>
        </w:rPr>
        <w:t>复合的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生产</w:t>
      </w:r>
      <w:r>
        <w:rPr>
          <w:rFonts w:hint="eastAsia" w:ascii="宋体" w:hAnsi="宋体" w:eastAsia="宋体" w:cs="宋体"/>
          <w:sz w:val="21"/>
          <w:szCs w:val="21"/>
        </w:rPr>
        <w:t>过程控制。</w:t>
      </w:r>
    </w:p>
    <w:p w14:paraId="6893E270">
      <w:pPr>
        <w:pStyle w:val="54"/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363" w:hanging="363"/>
        <w:textAlignment w:val="auto"/>
        <w:rPr>
          <w:rFonts w:hint="eastAsia" w:ascii="黑体" w:hAnsi="黑体" w:eastAsia="黑体" w:cs="黑体"/>
        </w:rPr>
      </w:pPr>
      <w:bookmarkStart w:id="8" w:name="_Toc262047526"/>
      <w:r>
        <w:rPr>
          <w:rFonts w:hint="eastAsia" w:ascii="黑体" w:hAnsi="黑体" w:eastAsia="黑体" w:cs="黑体"/>
        </w:rPr>
        <w:t>规范性引用文件</w:t>
      </w:r>
      <w:bookmarkEnd w:id="8"/>
    </w:p>
    <w:bookmarkEnd w:id="5"/>
    <w:bookmarkEnd w:id="6"/>
    <w:bookmarkEnd w:id="7"/>
    <w:p w14:paraId="5B7F1C82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lang w:eastAsia="zh-TW"/>
        </w:rPr>
      </w:pPr>
      <w:r>
        <w:rPr>
          <w:rFonts w:hint="eastAsia" w:ascii="宋体" w:hAnsi="宋体" w:eastAsia="宋体" w:cs="宋体"/>
        </w:rPr>
        <w:t>下列文件</w:t>
      </w:r>
      <w:r>
        <w:rPr>
          <w:rFonts w:hint="eastAsia" w:ascii="宋体" w:hAnsi="宋体" w:eastAsia="宋体" w:cs="宋体"/>
          <w:lang w:val="en-US" w:eastAsia="zh-CN"/>
        </w:rPr>
        <w:t>中的内容通过文中的规范性引用而构成</w:t>
      </w:r>
      <w:r>
        <w:rPr>
          <w:rFonts w:hint="eastAsia" w:ascii="宋体" w:hAnsi="宋体" w:eastAsia="宋体" w:cs="宋体"/>
        </w:rPr>
        <w:t>本文件必不可少的</w:t>
      </w:r>
      <w:r>
        <w:rPr>
          <w:rFonts w:hint="eastAsia" w:ascii="宋体" w:hAnsi="宋体" w:eastAsia="宋体" w:cs="宋体"/>
          <w:lang w:val="en-US" w:eastAsia="zh-CN"/>
        </w:rPr>
        <w:t>条款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lang w:val="en-US" w:eastAsia="zh-CN"/>
        </w:rPr>
        <w:t>其中，</w:t>
      </w:r>
      <w:r>
        <w:rPr>
          <w:rFonts w:hint="eastAsia" w:ascii="宋体" w:hAnsi="宋体" w:eastAsia="宋体" w:cs="宋体"/>
        </w:rPr>
        <w:t>注日期的引用文件，仅</w:t>
      </w:r>
      <w:r>
        <w:rPr>
          <w:rFonts w:hint="eastAsia" w:ascii="宋体" w:hAnsi="宋体" w:eastAsia="宋体" w:cs="宋体"/>
          <w:lang w:val="en-US" w:eastAsia="zh-CN"/>
        </w:rPr>
        <w:t>该</w:t>
      </w:r>
      <w:r>
        <w:rPr>
          <w:rFonts w:hint="eastAsia" w:ascii="宋体" w:hAnsi="宋体" w:eastAsia="宋体" w:cs="宋体"/>
        </w:rPr>
        <w:t>日期</w:t>
      </w:r>
      <w:r>
        <w:rPr>
          <w:rFonts w:hint="eastAsia" w:ascii="宋体" w:hAnsi="宋体" w:eastAsia="宋体" w:cs="宋体"/>
          <w:lang w:val="en-US" w:eastAsia="zh-CN"/>
        </w:rPr>
        <w:t>对应</w:t>
      </w:r>
      <w:r>
        <w:rPr>
          <w:rFonts w:hint="eastAsia" w:ascii="宋体" w:hAnsi="宋体" w:eastAsia="宋体" w:cs="宋体"/>
        </w:rPr>
        <w:t>的版本适用于本文件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不注日期的引用文件，其最新版本（包括所有的修改单）适用于本文件。</w:t>
      </w:r>
    </w:p>
    <w:p w14:paraId="6A51E4BD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GB/T 462 纸、纸板和纸浆 分析试样水分的测定</w:t>
      </w:r>
    </w:p>
    <w:p w14:paraId="5B4959B9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  <w:lang w:eastAsia="zh-TW"/>
        </w:rPr>
      </w:pPr>
      <w:r>
        <w:rPr>
          <w:rFonts w:hint="eastAsia" w:ascii="宋体" w:hAnsi="宋体" w:eastAsia="宋体" w:cs="宋体"/>
          <w:szCs w:val="21"/>
          <w:highlight w:val="none"/>
        </w:rPr>
        <w:t>GB/T 1723 涂料粘度测定法</w:t>
      </w:r>
    </w:p>
    <w:p w14:paraId="75A25C97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GB/T 2793 胶黏剂不挥发物含量的测定</w:t>
      </w:r>
    </w:p>
    <w:p w14:paraId="2E5F6C25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GB/T 13528 纸和纸板 表面pH的测定</w:t>
      </w:r>
    </w:p>
    <w:p w14:paraId="5D0E01FE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TW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GB/T 14518 胶黏剂的pH值测定</w:t>
      </w:r>
    </w:p>
    <w:p w14:paraId="7B4713E3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GB 24613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-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2009 玩具用涂料中有害物质限量</w:t>
      </w:r>
    </w:p>
    <w:p w14:paraId="542026CD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GB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27934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.1</w:t>
      </w:r>
      <w:r>
        <w:rPr>
          <w:rFonts w:hint="eastAsia" w:hAnsi="宋体" w:cs="宋体"/>
          <w:color w:val="auto"/>
          <w:szCs w:val="21"/>
          <w:highlight w:val="none"/>
          <w:lang w:val="en-US" w:eastAsia="zh-CN"/>
        </w:rPr>
        <w:t>-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20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纸质印刷品覆膜过程控制及检测方法  第1部分：基本要求</w:t>
      </w:r>
    </w:p>
    <w:p w14:paraId="133E678C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GB/T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27934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.2</w:t>
      </w:r>
      <w:r>
        <w:rPr>
          <w:rFonts w:hint="eastAsia" w:hAnsi="宋体" w:cs="宋体"/>
          <w:color w:val="auto"/>
          <w:szCs w:val="21"/>
          <w:highlight w:val="none"/>
          <w:lang w:val="en-US" w:eastAsia="zh-CN"/>
        </w:rPr>
        <w:t>-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011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纸质印刷品覆膜过程控制及检测方法  第2部分：</w:t>
      </w:r>
      <w:r>
        <w:rPr>
          <w:rFonts w:hint="eastAsia" w:ascii="宋体" w:hAnsi="宋体" w:eastAsia="宋体" w:cs="宋体"/>
          <w:color w:val="auto"/>
          <w:highlight w:val="none"/>
        </w:rPr>
        <w:t>乙烯-醋酸乙烯共聚物（EVA）热熔胶预涂覆膜</w:t>
      </w:r>
    </w:p>
    <w:p w14:paraId="6D09F77F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HJ 2541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-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2016 环境标志产品技术要求 胶粘剂</w:t>
      </w:r>
    </w:p>
    <w:p w14:paraId="0D05AC6D">
      <w:pPr>
        <w:pStyle w:val="54"/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357" w:hanging="357"/>
        <w:textAlignment w:val="auto"/>
        <w:rPr>
          <w:rFonts w:hint="eastAsia" w:ascii="黑体" w:hAnsi="黑体" w:eastAsia="黑体" w:cs="黑体"/>
        </w:rPr>
      </w:pPr>
      <w:bookmarkStart w:id="9" w:name="_Toc262047527"/>
      <w:r>
        <w:rPr>
          <w:rFonts w:hint="eastAsia" w:ascii="黑体" w:hAnsi="黑体" w:eastAsia="黑体" w:cs="黑体"/>
        </w:rPr>
        <w:t>术语和定义</w:t>
      </w:r>
      <w:bookmarkEnd w:id="9"/>
    </w:p>
    <w:p w14:paraId="697F111C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宋体" w:hAnsi="宋体" w:eastAsia="宋体" w:cs="宋体"/>
          <w:szCs w:val="21"/>
        </w:rPr>
        <w:t>GB</w:t>
      </w:r>
      <w:r>
        <w:rPr>
          <w:rFonts w:hint="eastAsia" w:ascii="宋体" w:hAnsi="宋体" w:eastAsia="宋体" w:cs="宋体"/>
          <w:szCs w:val="21"/>
          <w:lang w:val="en-US" w:eastAsia="zh-CN"/>
        </w:rPr>
        <w:t>/T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>27934</w:t>
      </w:r>
      <w:r>
        <w:rPr>
          <w:rFonts w:hint="eastAsia" w:ascii="宋体" w:hAnsi="宋体" w:eastAsia="宋体" w:cs="宋体"/>
          <w:szCs w:val="21"/>
        </w:rPr>
        <w:t>.1</w:t>
      </w:r>
      <w:r>
        <w:rPr>
          <w:rFonts w:hint="eastAsia" w:hAnsi="宋体" w:cs="宋体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Cs w:val="21"/>
        </w:rPr>
        <w:t>20</w:t>
      </w:r>
      <w:r>
        <w:rPr>
          <w:rFonts w:hint="eastAsia" w:ascii="宋体" w:hAnsi="宋体" w:eastAsia="宋体" w:cs="宋体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zCs w:val="21"/>
        </w:rPr>
        <w:t>界定的</w:t>
      </w:r>
      <w:r>
        <w:rPr>
          <w:rFonts w:hint="eastAsia" w:ascii="宋体" w:hAnsi="宋体" w:eastAsia="宋体" w:cs="宋体"/>
        </w:rPr>
        <w:t>术语和定义适用于本文件。</w:t>
      </w:r>
    </w:p>
    <w:p w14:paraId="0A25A895">
      <w:pPr>
        <w:pStyle w:val="53"/>
        <w:keepNext w:val="0"/>
        <w:keepLines w:val="0"/>
        <w:pageBreakBefore w:val="0"/>
        <w:widowControl/>
        <w:tabs>
          <w:tab w:val="left" w:pos="28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3.1</w:t>
      </w:r>
      <w:bookmarkStart w:id="10" w:name="_Toc262047528"/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C0B4F05">
      <w:pPr>
        <w:pStyle w:val="53"/>
        <w:keepNext w:val="0"/>
        <w:keepLines w:val="0"/>
        <w:pageBreakBefore w:val="0"/>
        <w:tabs>
          <w:tab w:val="left" w:pos="2820"/>
        </w:tabs>
        <w:kinsoku/>
        <w:wordWrap/>
        <w:overflowPunct/>
        <w:topLinePunct w:val="0"/>
        <w:bidi w:val="0"/>
        <w:snapToGrid/>
        <w:spacing w:line="240" w:lineRule="auto"/>
        <w:ind w:left="0" w:leftChars="0"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水基胶黏剂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water-based adhesive</w:t>
      </w:r>
      <w:bookmarkEnd w:id="10"/>
    </w:p>
    <w:p w14:paraId="46AEA6E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以水为溶剂或分散介质的高分子聚合物作为主要粘结料的胶黏剂。</w:t>
      </w:r>
    </w:p>
    <w:p w14:paraId="027E212F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3.2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7473F4AC">
      <w:pPr>
        <w:pStyle w:val="53"/>
        <w:spacing w:line="300" w:lineRule="auto"/>
        <w:ind w:firstLine="420" w:firstLineChars="20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 xml:space="preserve">即涂干式覆膜 </w:t>
      </w:r>
      <w:r>
        <w:rPr>
          <w:rFonts w:hint="eastAsia" w:ascii="黑体" w:hAnsi="黑体" w:eastAsia="黑体" w:cs="黑体"/>
          <w:lang w:val="en-US" w:eastAsia="zh-CN"/>
        </w:rPr>
        <w:t>on-site coating type dry lamination</w:t>
      </w:r>
    </w:p>
    <w:p w14:paraId="3D8E0905">
      <w:pPr>
        <w:pStyle w:val="53"/>
        <w:spacing w:line="300" w:lineRule="auto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薄膜涂胶</w:t>
      </w:r>
      <w:r>
        <w:rPr>
          <w:rFonts w:hint="eastAsia" w:ascii="宋体" w:hAnsi="宋体" w:eastAsia="宋体" w:cs="宋体"/>
          <w:lang w:val="en-US" w:eastAsia="zh-CN"/>
        </w:rPr>
        <w:t>烘干后立即</w:t>
      </w:r>
      <w:r>
        <w:rPr>
          <w:rFonts w:hint="eastAsia" w:ascii="宋体" w:hAnsi="宋体" w:eastAsia="宋体" w:cs="宋体"/>
        </w:rPr>
        <w:t>进行</w:t>
      </w:r>
      <w:r>
        <w:rPr>
          <w:rFonts w:hint="eastAsia" w:ascii="宋体" w:hAnsi="宋体" w:eastAsia="宋体" w:cs="宋体"/>
          <w:lang w:val="en-US" w:eastAsia="zh-CN"/>
        </w:rPr>
        <w:t>热压</w:t>
      </w:r>
      <w:r>
        <w:rPr>
          <w:rFonts w:hint="eastAsia" w:ascii="宋体" w:hAnsi="宋体" w:eastAsia="宋体" w:cs="宋体"/>
        </w:rPr>
        <w:t>复合的工艺。</w:t>
      </w:r>
    </w:p>
    <w:p w14:paraId="67722F9C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3.3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</w:p>
    <w:p w14:paraId="2650D175">
      <w:pPr>
        <w:pStyle w:val="53"/>
        <w:spacing w:line="300" w:lineRule="auto"/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烘干温度 drying temperature</w:t>
      </w:r>
    </w:p>
    <w:p w14:paraId="2965B8C6">
      <w:pPr>
        <w:pStyle w:val="53"/>
        <w:spacing w:line="300" w:lineRule="auto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覆膜过程烘干装置的温度。单位为℃。</w:t>
      </w:r>
    </w:p>
    <w:p w14:paraId="2C3C5276">
      <w:pPr>
        <w:pStyle w:val="54"/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363" w:hanging="363"/>
        <w:textAlignment w:val="auto"/>
        <w:rPr>
          <w:rFonts w:hint="eastAsia" w:ascii="黑体" w:hAnsi="黑体" w:eastAsia="黑体" w:cs="黑体"/>
        </w:rPr>
      </w:pPr>
      <w:bookmarkStart w:id="11" w:name="_Toc262047529"/>
      <w:r>
        <w:rPr>
          <w:rFonts w:hint="eastAsia" w:ascii="黑体" w:hAnsi="黑体" w:eastAsia="黑体" w:cs="黑体"/>
          <w:lang w:val="en-US" w:eastAsia="zh-CN"/>
        </w:rPr>
        <w:t>技术要求</w:t>
      </w:r>
    </w:p>
    <w:p w14:paraId="50D7EF0F">
      <w:pPr>
        <w:pStyle w:val="54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240" w:lineRule="auto"/>
        <w:ind w:left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 xml:space="preserve">4.1 </w:t>
      </w:r>
      <w:r>
        <w:rPr>
          <w:rFonts w:hint="eastAsia" w:ascii="黑体" w:hAnsi="黑体" w:eastAsia="黑体" w:cs="黑体"/>
        </w:rPr>
        <w:t>原材料要求</w:t>
      </w:r>
      <w:bookmarkEnd w:id="11"/>
    </w:p>
    <w:p w14:paraId="3F9C2CCF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/>
        <w:ind w:left="0" w:leftChars="0"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4.1.1 水基胶黏剂</w:t>
      </w:r>
    </w:p>
    <w:p w14:paraId="3DF08859">
      <w:pPr>
        <w:pStyle w:val="5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lang w:val="en-US" w:eastAsia="zh-CN"/>
        </w:rPr>
        <w:t>4.1.1.1</w:t>
      </w:r>
      <w:r>
        <w:rPr>
          <w:rFonts w:hint="eastAsia" w:ascii="黑体" w:hAnsi="黑体" w:eastAsia="黑体" w:cs="黑体"/>
          <w:color w:val="FF000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苯、甲苯、二甲苯、卤代烃含量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应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符合GB/T 27934.1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-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2011第4.2条款要求。</w:t>
      </w:r>
    </w:p>
    <w:p w14:paraId="3DF09975">
      <w:pPr>
        <w:pStyle w:val="5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 xml:space="preserve">4.1.1.2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邻苯二甲酸酯、可溶性元素含量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应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符合GB 24613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-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2009第4章表1要求。</w:t>
      </w:r>
    </w:p>
    <w:p w14:paraId="25A2149B">
      <w:pPr>
        <w:pStyle w:val="5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 xml:space="preserve">4.1.1.3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挥发性有机化合物限量（VOC）的限量值不应大于50</w:t>
      </w:r>
      <w:r>
        <w:rPr>
          <w:rFonts w:hint="eastAsia" w:hAnsi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g/L。</w:t>
      </w:r>
    </w:p>
    <w:p w14:paraId="448A679C">
      <w:pPr>
        <w:pStyle w:val="1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highlight w:val="none"/>
        </w:rPr>
        <w:t>4.1.</w:t>
      </w:r>
      <w:r>
        <w:rPr>
          <w:rFonts w:hint="eastAsia" w:ascii="黑体" w:hAnsi="黑体" w:eastAsia="黑体" w:cs="黑体"/>
          <w:color w:val="auto"/>
          <w:kern w:val="0"/>
          <w:highlight w:val="none"/>
          <w:lang w:val="en-US" w:eastAsia="zh-CN"/>
        </w:rPr>
        <w:t>1.4</w:t>
      </w:r>
      <w:r>
        <w:rPr>
          <w:rFonts w:hint="eastAsia" w:ascii="黑体" w:hAnsi="黑体" w:eastAsia="黑体" w:cs="黑体"/>
          <w:b/>
          <w:color w:val="auto"/>
          <w:kern w:val="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固含量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不应小于40%，如后续工艺有压纹压痕要求的固含量不宜低于43%。</w:t>
      </w:r>
    </w:p>
    <w:p w14:paraId="7BE1843E">
      <w:pPr>
        <w:pStyle w:val="1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auto"/>
          <w:highlight w:val="none"/>
        </w:rPr>
        <w:t>4.1.</w:t>
      </w:r>
      <w:r>
        <w:rPr>
          <w:rFonts w:hint="eastAsia" w:ascii="黑体" w:hAnsi="黑体" w:eastAsia="黑体" w:cs="黑体"/>
          <w:color w:val="auto"/>
          <w:highlight w:val="none"/>
          <w:lang w:val="en-US" w:eastAsia="zh-CN"/>
        </w:rPr>
        <w:t>1.5</w:t>
      </w:r>
      <w:r>
        <w:rPr>
          <w:rFonts w:hint="eastAsia" w:ascii="黑体" w:hAnsi="黑体" w:eastAsia="黑体" w:cs="黑体"/>
          <w:b/>
          <w:color w:val="auto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val="en-US" w:eastAsia="zh-CN"/>
        </w:rPr>
        <w:t>温度在</w:t>
      </w:r>
      <w:r>
        <w:rPr>
          <w:rFonts w:hint="eastAsia" w:ascii="宋体" w:hAnsi="宋体" w:eastAsia="宋体" w:cs="宋体"/>
          <w:color w:val="auto"/>
          <w:highlight w:val="none"/>
        </w:rPr>
        <w:t>（25±1）℃</w:t>
      </w:r>
      <w:r>
        <w:rPr>
          <w:rFonts w:hint="eastAsia" w:hAnsi="宋体" w:cs="宋体"/>
          <w:color w:val="auto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</w:rPr>
        <w:t>黏度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值应控制在</w:t>
      </w:r>
      <w:r>
        <w:rPr>
          <w:rFonts w:hint="eastAsia" w:ascii="宋体" w:hAnsi="宋体" w:eastAsia="宋体" w:cs="宋体"/>
          <w:color w:val="auto"/>
          <w:highlight w:val="none"/>
        </w:rPr>
        <w:t>12.0</w:t>
      </w:r>
      <w:r>
        <w:rPr>
          <w:rFonts w:hint="eastAsia" w:hAnsi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s</w:t>
      </w:r>
      <w:r>
        <w:rPr>
          <w:rFonts w:hint="eastAsia" w:ascii="宋体" w:hAnsi="宋体" w:eastAsia="宋体" w:cs="宋体"/>
        </w:rPr>
        <w:t>～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highlight w:val="none"/>
        </w:rPr>
        <w:t>.0</w:t>
      </w:r>
      <w:r>
        <w:rPr>
          <w:rFonts w:hint="eastAsia" w:hAnsi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s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范</w:t>
      </w:r>
      <w:r>
        <w:rPr>
          <w:rFonts w:hint="eastAsia" w:ascii="宋体" w:hAnsi="宋体" w:eastAsia="宋体" w:cs="宋体"/>
          <w:lang w:val="en-US" w:eastAsia="zh-CN"/>
        </w:rPr>
        <w:t>围内</w:t>
      </w:r>
      <w:r>
        <w:rPr>
          <w:rFonts w:hint="eastAsia" w:ascii="宋体" w:hAnsi="宋体" w:eastAsia="宋体" w:cs="宋体"/>
          <w:color w:val="000000"/>
        </w:rPr>
        <w:t>。</w:t>
      </w:r>
    </w:p>
    <w:p w14:paraId="366B8948">
      <w:pPr>
        <w:pStyle w:val="1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黑体" w:hAnsi="黑体" w:eastAsia="黑体" w:cs="黑体"/>
        </w:rPr>
        <w:t>4.1.</w:t>
      </w:r>
      <w:r>
        <w:rPr>
          <w:rFonts w:hint="eastAsia" w:ascii="黑体" w:hAnsi="黑体" w:eastAsia="黑体" w:cs="黑体"/>
          <w:lang w:val="en-US" w:eastAsia="zh-CN"/>
        </w:rPr>
        <w:t>1.6</w:t>
      </w:r>
      <w:r>
        <w:rPr>
          <w:rFonts w:hint="eastAsia" w:ascii="黑体" w:hAnsi="黑体" w:eastAsia="黑体" w:cs="黑体"/>
          <w:b/>
        </w:rPr>
        <w:t xml:space="preserve"> </w:t>
      </w:r>
      <w:r>
        <w:rPr>
          <w:rFonts w:hint="eastAsia" w:ascii="宋体" w:hAnsi="宋体" w:eastAsia="宋体" w:cs="宋体"/>
        </w:rPr>
        <w:t>酸碱度(pH值)</w:t>
      </w:r>
      <w:r>
        <w:rPr>
          <w:rFonts w:hint="eastAsia" w:hAnsi="宋体" w:cs="宋体"/>
          <w:lang w:val="en-US" w:eastAsia="zh-CN"/>
        </w:rPr>
        <w:t>宜为</w:t>
      </w:r>
      <w:r>
        <w:rPr>
          <w:rFonts w:hint="eastAsia" w:ascii="宋体" w:hAnsi="宋体" w:eastAsia="宋体" w:cs="宋体"/>
          <w:lang w:val="en-US" w:eastAsia="zh-CN"/>
        </w:rPr>
        <w:t>6.5</w:t>
      </w:r>
      <w:r>
        <w:rPr>
          <w:rFonts w:hint="eastAsia" w:ascii="宋体" w:hAnsi="宋体" w:eastAsia="宋体" w:cs="宋体"/>
        </w:rPr>
        <w:t>～</w:t>
      </w:r>
      <w:r>
        <w:rPr>
          <w:rFonts w:hint="eastAsia" w:ascii="宋体" w:hAnsi="宋体" w:eastAsia="宋体" w:cs="宋体"/>
          <w:lang w:val="en-US" w:eastAsia="zh-CN"/>
        </w:rPr>
        <w:t>8.0。</w:t>
      </w:r>
    </w:p>
    <w:p w14:paraId="799B274C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4.1.2</w:t>
      </w:r>
      <w:r>
        <w:rPr>
          <w:rFonts w:hint="eastAsia" w:ascii="黑体" w:hAnsi="黑体" w:eastAsia="黑体" w:cs="黑体"/>
          <w:b w:val="0"/>
          <w:bCs/>
        </w:rPr>
        <w:t xml:space="preserve"> 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>薄膜</w:t>
      </w:r>
    </w:p>
    <w:p w14:paraId="5B668BFD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lang w:eastAsia="zh-CN"/>
        </w:rPr>
      </w:pPr>
      <w:r>
        <w:rPr>
          <w:rFonts w:hint="eastAsia" w:ascii="宋体" w:hAnsi="宋体" w:eastAsia="宋体" w:cs="宋体"/>
        </w:rPr>
        <w:t>应符合</w:t>
      </w:r>
      <w:r>
        <w:rPr>
          <w:rFonts w:hint="eastAsia" w:ascii="宋体" w:hAnsi="宋体" w:eastAsia="宋体" w:cs="宋体"/>
          <w:szCs w:val="21"/>
        </w:rPr>
        <w:t>GB</w:t>
      </w:r>
      <w:r>
        <w:rPr>
          <w:rFonts w:hint="eastAsia" w:ascii="宋体" w:hAnsi="宋体" w:eastAsia="宋体" w:cs="宋体"/>
          <w:szCs w:val="21"/>
          <w:lang w:val="en-US" w:eastAsia="zh-CN"/>
        </w:rPr>
        <w:t>/T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>27934</w:t>
      </w:r>
      <w:r>
        <w:rPr>
          <w:rFonts w:hint="eastAsia" w:ascii="宋体" w:hAnsi="宋体" w:eastAsia="宋体" w:cs="宋体"/>
          <w:szCs w:val="21"/>
        </w:rPr>
        <w:t>.1</w:t>
      </w:r>
      <w:r>
        <w:rPr>
          <w:rFonts w:hint="eastAsia" w:ascii="宋体" w:hAnsi="宋体" w:eastAsia="宋体" w:cs="宋体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Cs w:val="21"/>
        </w:rPr>
        <w:t>20</w:t>
      </w:r>
      <w:r>
        <w:rPr>
          <w:rFonts w:hint="eastAsia" w:ascii="宋体" w:hAnsi="宋体" w:eastAsia="宋体" w:cs="宋体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zCs w:val="21"/>
        </w:rPr>
        <w:t>第4.1条款中的表1、表2</w:t>
      </w:r>
      <w:r>
        <w:rPr>
          <w:rFonts w:hint="eastAsia" w:ascii="宋体" w:hAnsi="宋体" w:eastAsia="宋体" w:cs="宋体"/>
        </w:rPr>
        <w:t>的规定</w:t>
      </w:r>
      <w:r>
        <w:rPr>
          <w:rFonts w:hint="eastAsia" w:ascii="宋体" w:hAnsi="宋体" w:eastAsia="宋体" w:cs="宋体"/>
          <w:szCs w:val="21"/>
        </w:rPr>
        <w:t>。</w:t>
      </w:r>
    </w:p>
    <w:p w14:paraId="6D0DF693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b/>
          <w:lang w:val="en-US" w:eastAsia="zh-CN"/>
        </w:rPr>
      </w:pPr>
      <w:r>
        <w:rPr>
          <w:rFonts w:hint="eastAsia" w:ascii="黑体" w:hAnsi="黑体" w:eastAsia="黑体" w:cs="黑体"/>
        </w:rPr>
        <w:t>4.</w:t>
      </w:r>
      <w:r>
        <w:rPr>
          <w:rFonts w:hint="eastAsia" w:ascii="黑体" w:hAnsi="黑体" w:eastAsia="黑体" w:cs="黑体"/>
          <w:lang w:val="en-US" w:eastAsia="zh-CN"/>
        </w:rPr>
        <w:t>1.</w:t>
      </w:r>
      <w:r>
        <w:rPr>
          <w:rFonts w:hint="eastAsia" w:ascii="黑体" w:hAnsi="黑体" w:eastAsia="黑体" w:cs="黑体"/>
        </w:rPr>
        <w:t xml:space="preserve">3 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>纸质印刷品</w:t>
      </w:r>
    </w:p>
    <w:p w14:paraId="556BA74B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0" w:lineRule="atLeast"/>
        <w:jc w:val="left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 xml:space="preserve">4.1.3.1 </w:t>
      </w:r>
      <w:r>
        <w:rPr>
          <w:rFonts w:hint="eastAsia" w:ascii="宋体" w:hAnsi="宋体" w:eastAsia="宋体" w:cs="宋体"/>
        </w:rPr>
        <w:t>应符合</w:t>
      </w:r>
      <w:r>
        <w:rPr>
          <w:rFonts w:hint="eastAsia" w:ascii="宋体" w:hAnsi="宋体" w:eastAsia="宋体" w:cs="宋体"/>
          <w:szCs w:val="21"/>
        </w:rPr>
        <w:t>GB</w:t>
      </w:r>
      <w:r>
        <w:rPr>
          <w:rFonts w:hint="eastAsia" w:ascii="宋体" w:hAnsi="宋体" w:eastAsia="宋体" w:cs="宋体"/>
          <w:szCs w:val="21"/>
          <w:lang w:val="en-US" w:eastAsia="zh-CN"/>
        </w:rPr>
        <w:t>/T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>27934</w:t>
      </w:r>
      <w:r>
        <w:rPr>
          <w:rFonts w:hint="eastAsia" w:ascii="宋体" w:hAnsi="宋体" w:eastAsia="宋体" w:cs="宋体"/>
          <w:szCs w:val="21"/>
        </w:rPr>
        <w:t>.1</w:t>
      </w:r>
      <w:r>
        <w:rPr>
          <w:rFonts w:hint="eastAsia" w:ascii="宋体" w:hAnsi="宋体" w:eastAsia="宋体" w:cs="宋体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zCs w:val="21"/>
        </w:rPr>
        <w:t>20</w:t>
      </w:r>
      <w:r>
        <w:rPr>
          <w:rFonts w:hint="eastAsia" w:ascii="宋体" w:hAnsi="宋体" w:eastAsia="宋体" w:cs="宋体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zCs w:val="21"/>
        </w:rPr>
        <w:t>中第4.3条款</w:t>
      </w:r>
      <w:r>
        <w:rPr>
          <w:rFonts w:hint="eastAsia" w:ascii="宋体" w:hAnsi="宋体" w:eastAsia="宋体" w:cs="宋体"/>
        </w:rPr>
        <w:t>的规定。</w:t>
      </w:r>
    </w:p>
    <w:p w14:paraId="2E100D50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4.1.3.2 </w:t>
      </w:r>
      <w:r>
        <w:rPr>
          <w:rFonts w:hint="eastAsia" w:ascii="宋体" w:hAnsi="宋体" w:eastAsia="宋体" w:cs="宋体"/>
          <w:highlight w:val="none"/>
          <w:lang w:val="en-US" w:eastAsia="zh-CN"/>
        </w:rPr>
        <w:t>纸张酸碱性应控制在PH值</w:t>
      </w:r>
      <w:r>
        <w:rPr>
          <w:rFonts w:hint="eastAsia" w:hAnsi="宋体" w:cs="宋体"/>
          <w:highlight w:val="none"/>
          <w:lang w:val="en-US" w:eastAsia="zh-CN"/>
        </w:rPr>
        <w:t>宜为</w:t>
      </w:r>
      <w:r>
        <w:rPr>
          <w:rFonts w:hint="eastAsia" w:ascii="宋体" w:hAnsi="宋体" w:eastAsia="宋体" w:cs="宋体"/>
          <w:highlight w:val="none"/>
          <w:lang w:val="en-US" w:eastAsia="zh-CN"/>
        </w:rPr>
        <w:t>6.5</w:t>
      </w:r>
      <w:r>
        <w:rPr>
          <w:rFonts w:hint="eastAsia" w:ascii="宋体" w:hAnsi="宋体" w:eastAsia="宋体" w:cs="宋体"/>
          <w:highlight w:val="none"/>
        </w:rPr>
        <w:t>～</w:t>
      </w:r>
      <w:r>
        <w:rPr>
          <w:rFonts w:hint="eastAsia" w:ascii="宋体" w:hAnsi="宋体" w:eastAsia="宋体" w:cs="宋体"/>
          <w:highlight w:val="none"/>
          <w:lang w:val="en-US" w:eastAsia="zh-CN"/>
        </w:rPr>
        <w:t>8.0。</w:t>
      </w:r>
    </w:p>
    <w:p w14:paraId="57C30661">
      <w:pPr>
        <w:pStyle w:val="54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240" w:lineRule="auto"/>
        <w:ind w:leftChars="0"/>
        <w:textAlignment w:val="auto"/>
        <w:rPr>
          <w:rFonts w:hint="eastAsia" w:ascii="黑体" w:hAnsi="黑体" w:eastAsia="黑体" w:cs="黑体"/>
          <w:lang w:eastAsia="zh-CN"/>
        </w:rPr>
      </w:pPr>
      <w:bookmarkStart w:id="12" w:name="_Toc262047531"/>
      <w:r>
        <w:rPr>
          <w:rFonts w:hint="eastAsia" w:ascii="黑体" w:hAnsi="黑体" w:eastAsia="黑体" w:cs="黑体"/>
          <w:lang w:val="en-US" w:eastAsia="zh-CN"/>
        </w:rPr>
        <w:t xml:space="preserve">4.2 </w:t>
      </w:r>
      <w:r>
        <w:rPr>
          <w:rFonts w:hint="eastAsia" w:ascii="黑体" w:hAnsi="黑体" w:eastAsia="黑体" w:cs="黑体"/>
        </w:rPr>
        <w:t>设备要求</w:t>
      </w:r>
      <w:bookmarkEnd w:id="12"/>
    </w:p>
    <w:p w14:paraId="68E1E37D">
      <w:pPr>
        <w:pStyle w:val="53"/>
        <w:spacing w:line="300" w:lineRule="auto"/>
        <w:ind w:firstLine="0" w:firstLine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4.2.1 </w:t>
      </w:r>
      <w:r>
        <w:rPr>
          <w:rFonts w:hint="eastAsia" w:ascii="宋体" w:hAnsi="宋体" w:eastAsia="宋体" w:cs="宋体"/>
          <w:lang w:val="en-US" w:eastAsia="zh-CN"/>
        </w:rPr>
        <w:t>应确保温控传感器灵敏、准确和稳定。</w:t>
      </w:r>
    </w:p>
    <w:p w14:paraId="6D5A2224">
      <w:pPr>
        <w:pStyle w:val="53"/>
        <w:spacing w:line="300" w:lineRule="auto"/>
        <w:ind w:firstLine="0" w:firstLine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4.2</w:t>
      </w:r>
      <w:r>
        <w:rPr>
          <w:rFonts w:hint="eastAsia" w:ascii="黑体" w:hAnsi="黑体" w:eastAsia="黑体" w:cs="黑体"/>
          <w:highlight w:val="none"/>
        </w:rPr>
        <w:t xml:space="preserve">.2 </w:t>
      </w:r>
      <w:r>
        <w:rPr>
          <w:rFonts w:hint="eastAsia" w:ascii="宋体" w:hAnsi="宋体" w:eastAsia="宋体" w:cs="宋体"/>
          <w:highlight w:val="none"/>
        </w:rPr>
        <w:t>烘干装置状态良好</w:t>
      </w:r>
      <w:r>
        <w:rPr>
          <w:rFonts w:hint="eastAsia" w:ascii="宋体" w:hAnsi="宋体" w:eastAsia="宋体" w:cs="宋体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  <w:lang w:val="en-US" w:eastAsia="zh-CN"/>
        </w:rPr>
        <w:t>温度允差不应大于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</w:t>
      </w:r>
      <w:r>
        <w:rPr>
          <w:rFonts w:hint="eastAsia" w:hAnsi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℃</w:t>
      </w:r>
      <w:r>
        <w:rPr>
          <w:rFonts w:hint="eastAsia" w:ascii="宋体" w:hAnsi="宋体" w:eastAsia="宋体" w:cs="宋体"/>
          <w:highlight w:val="none"/>
          <w:lang w:val="en-US" w:eastAsia="zh-CN"/>
        </w:rPr>
        <w:t>。</w:t>
      </w:r>
    </w:p>
    <w:p w14:paraId="45071C29">
      <w:pPr>
        <w:pStyle w:val="53"/>
        <w:spacing w:line="300" w:lineRule="auto"/>
        <w:ind w:firstLine="0" w:firstLineChars="0"/>
        <w:rPr>
          <w:rFonts w:hint="eastAsia" w:ascii="黑体" w:hAnsi="黑体" w:eastAsia="黑体" w:cs="黑体"/>
          <w:highlight w:val="none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4.2</w:t>
      </w:r>
      <w:r>
        <w:rPr>
          <w:rFonts w:hint="eastAsia" w:ascii="黑体" w:hAnsi="黑体" w:eastAsia="黑体" w:cs="黑体"/>
          <w:highlight w:val="none"/>
        </w:rPr>
        <w:t xml:space="preserve">.3 </w:t>
      </w:r>
      <w:r>
        <w:rPr>
          <w:rFonts w:hint="eastAsia" w:ascii="宋体" w:hAnsi="宋体" w:eastAsia="宋体" w:cs="宋体"/>
          <w:highlight w:val="none"/>
        </w:rPr>
        <w:t>热压辊的表面温度应均匀，温度允差</w:t>
      </w:r>
      <w:r>
        <w:rPr>
          <w:rFonts w:hint="eastAsia" w:ascii="宋体" w:hAnsi="宋体" w:eastAsia="宋体" w:cs="宋体"/>
          <w:highlight w:val="none"/>
          <w:lang w:val="en-US" w:eastAsia="zh-CN"/>
        </w:rPr>
        <w:t>不应大于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</w:t>
      </w:r>
      <w:r>
        <w:rPr>
          <w:rFonts w:hint="eastAsia" w:hAnsi="宋体" w:cs="宋体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℃</w:t>
      </w:r>
      <w:r>
        <w:rPr>
          <w:rFonts w:hint="eastAsia" w:ascii="宋体" w:hAnsi="宋体" w:eastAsia="宋体" w:cs="宋体"/>
          <w:highlight w:val="none"/>
        </w:rPr>
        <w:t>。</w:t>
      </w:r>
    </w:p>
    <w:p w14:paraId="4B9E1F36">
      <w:pPr>
        <w:pStyle w:val="53"/>
        <w:spacing w:line="300" w:lineRule="auto"/>
        <w:ind w:firstLine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4.2</w:t>
      </w:r>
      <w:r>
        <w:rPr>
          <w:rFonts w:hint="eastAsia" w:ascii="黑体" w:hAnsi="黑体" w:eastAsia="黑体" w:cs="黑体"/>
        </w:rPr>
        <w:t xml:space="preserve">.4 </w:t>
      </w:r>
      <w:r>
        <w:rPr>
          <w:rFonts w:hint="eastAsia" w:ascii="宋体" w:hAnsi="宋体" w:eastAsia="宋体" w:cs="宋体"/>
        </w:rPr>
        <w:t>挤压辊轴向和径向覆膜压强应均匀稳定，啮合处美纹纸压敏胶粘带压痕宽度差</w:t>
      </w:r>
      <w:r>
        <w:rPr>
          <w:rFonts w:hint="eastAsia" w:hAnsi="宋体" w:cs="宋体"/>
          <w:lang w:val="en-US" w:eastAsia="zh-CN"/>
        </w:rPr>
        <w:t>不应大于</w:t>
      </w:r>
      <w:r>
        <w:rPr>
          <w:rFonts w:hint="eastAsia" w:ascii="宋体" w:hAnsi="宋体" w:eastAsia="宋体" w:cs="宋体"/>
        </w:rPr>
        <w:t>1.0</w:t>
      </w:r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mm。</w:t>
      </w:r>
    </w:p>
    <w:p w14:paraId="31311618">
      <w:pPr>
        <w:pStyle w:val="53"/>
        <w:spacing w:line="300" w:lineRule="auto"/>
        <w:ind w:firstLine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4.2</w:t>
      </w:r>
      <w:r>
        <w:rPr>
          <w:rFonts w:hint="eastAsia" w:ascii="黑体" w:hAnsi="黑体" w:eastAsia="黑体" w:cs="黑体"/>
        </w:rPr>
        <w:t xml:space="preserve">.5 </w:t>
      </w:r>
      <w:r>
        <w:rPr>
          <w:rFonts w:hint="eastAsia" w:ascii="宋体" w:hAnsi="宋体" w:eastAsia="宋体" w:cs="宋体"/>
        </w:rPr>
        <w:t>确保覆膜压力表灵敏、准确和稳定。</w:t>
      </w:r>
    </w:p>
    <w:p w14:paraId="4D1323BD">
      <w:pPr>
        <w:pStyle w:val="53"/>
        <w:spacing w:line="300" w:lineRule="auto"/>
        <w:ind w:firstLine="0" w:firstLineChars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4.2</w:t>
      </w:r>
      <w:r>
        <w:rPr>
          <w:rFonts w:hint="eastAsia" w:ascii="黑体" w:hAnsi="黑体" w:eastAsia="黑体" w:cs="黑体"/>
        </w:rPr>
        <w:t xml:space="preserve">.6 </w:t>
      </w:r>
      <w:r>
        <w:rPr>
          <w:rFonts w:hint="eastAsia" w:ascii="宋体" w:hAnsi="宋体" w:eastAsia="宋体" w:cs="宋体"/>
        </w:rPr>
        <w:t>加热辊筒表面状态良好。</w:t>
      </w:r>
    </w:p>
    <w:p w14:paraId="2D5C9EF0">
      <w:pPr>
        <w:pStyle w:val="53"/>
        <w:spacing w:line="300" w:lineRule="auto"/>
        <w:ind w:firstLine="0" w:firstLineChars="0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lang w:val="en-US" w:eastAsia="zh-CN"/>
        </w:rPr>
        <w:t>4.2</w:t>
      </w:r>
      <w:r>
        <w:rPr>
          <w:rFonts w:hint="eastAsia" w:ascii="黑体" w:hAnsi="黑体" w:eastAsia="黑体" w:cs="黑体"/>
        </w:rPr>
        <w:t xml:space="preserve">.7 </w:t>
      </w:r>
      <w:r>
        <w:rPr>
          <w:rFonts w:hint="eastAsia" w:ascii="宋体" w:hAnsi="宋体" w:eastAsia="宋体" w:cs="宋体"/>
          <w:highlight w:val="none"/>
        </w:rPr>
        <w:t>涂胶装置</w:t>
      </w:r>
      <w:r>
        <w:rPr>
          <w:rFonts w:hint="eastAsia" w:ascii="宋体" w:hAnsi="宋体" w:eastAsia="宋体" w:cs="宋体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highlight w:val="none"/>
          <w:lang w:val="en-US" w:eastAsia="zh-CN"/>
        </w:rPr>
        <w:t>胶盘应</w:t>
      </w:r>
      <w:r>
        <w:rPr>
          <w:rFonts w:hint="eastAsia" w:ascii="宋体" w:hAnsi="宋体" w:eastAsia="宋体" w:cs="宋体"/>
          <w:highlight w:val="none"/>
        </w:rPr>
        <w:t>密</w:t>
      </w:r>
      <w:r>
        <w:rPr>
          <w:rFonts w:hint="eastAsia" w:ascii="宋体" w:hAnsi="宋体" w:eastAsia="宋体" w:cs="宋体"/>
        </w:rPr>
        <w:t>封。</w:t>
      </w:r>
    </w:p>
    <w:p w14:paraId="08B49BA9">
      <w:pPr>
        <w:pStyle w:val="54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240" w:lineRule="auto"/>
        <w:ind w:leftChars="0"/>
        <w:textAlignment w:val="auto"/>
        <w:rPr>
          <w:rFonts w:hint="eastAsia" w:ascii="黑体" w:hAnsi="黑体" w:eastAsia="黑体" w:cs="黑体"/>
        </w:rPr>
      </w:pPr>
      <w:bookmarkStart w:id="13" w:name="_Toc262047530"/>
      <w:r>
        <w:rPr>
          <w:rFonts w:hint="eastAsia" w:ascii="黑体" w:hAnsi="黑体" w:eastAsia="黑体" w:cs="黑体"/>
          <w:lang w:val="en-US" w:eastAsia="zh-CN"/>
        </w:rPr>
        <w:t xml:space="preserve">4.3 </w:t>
      </w:r>
      <w:r>
        <w:rPr>
          <w:rFonts w:hint="eastAsia" w:ascii="黑体" w:hAnsi="黑体" w:eastAsia="黑体" w:cs="黑体"/>
        </w:rPr>
        <w:t>工艺要求</w:t>
      </w:r>
      <w:bookmarkEnd w:id="13"/>
    </w:p>
    <w:p w14:paraId="26867AC9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4.3.1</w:t>
      </w:r>
      <w:r>
        <w:rPr>
          <w:rFonts w:hint="eastAsia" w:ascii="黑体" w:hAnsi="黑体" w:eastAsia="黑体" w:cs="黑体"/>
        </w:rPr>
        <w:t xml:space="preserve"> 覆膜准备</w:t>
      </w:r>
    </w:p>
    <w:p w14:paraId="1D8D2998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20" w:lineRule="atLeast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4.3.1.1 </w:t>
      </w:r>
      <w:r>
        <w:rPr>
          <w:rFonts w:hint="eastAsia" w:ascii="宋体" w:hAnsi="宋体" w:eastAsia="宋体" w:cs="宋体"/>
          <w:lang w:val="en-US" w:eastAsia="zh-CN"/>
        </w:rPr>
        <w:t>图1给出了水性胶干式覆膜原理示意图，为保证覆膜质量，覆膜工作前应进行必要的准备工作。</w:t>
      </w:r>
    </w:p>
    <w:p w14:paraId="12288CDC">
      <w:pPr>
        <w:pStyle w:val="53"/>
        <w:spacing w:line="300" w:lineRule="auto"/>
        <w:ind w:firstLine="0" w:firstLineChars="0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938520" cy="2385695"/>
            <wp:effectExtent l="0" t="0" r="5080" b="1905"/>
            <wp:docPr id="15" name="图片 15" descr="3d0882e2cc76e10a68223094afd715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d0882e2cc76e10a68223094afd715c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D5C50">
      <w:pPr>
        <w:pStyle w:val="53"/>
        <w:spacing w:line="300" w:lineRule="auto"/>
        <w:ind w:firstLine="0" w:firstLineChars="0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标引序号说明：</w:t>
      </w:r>
    </w:p>
    <w:p w14:paraId="58DB7211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20" w:lineRule="atLeast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送纸器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  9——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涂胶装置（胶盆应密封）</w:t>
      </w:r>
    </w:p>
    <w:p w14:paraId="6DBBBC57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20" w:lineRule="atLeast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传纸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    10——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平衡辊</w:t>
      </w:r>
    </w:p>
    <w:p w14:paraId="005BFC66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20" w:lineRule="atLeast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纸塑复合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11——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烘干装置</w:t>
      </w:r>
    </w:p>
    <w:p w14:paraId="038AD721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20" w:lineRule="atLeast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4——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薄膜上胶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12——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加热辊筒</w:t>
      </w:r>
    </w:p>
    <w:p w14:paraId="2321A2A0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20" w:lineRule="atLeast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5——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薄膜卷胶架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13——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热压辊</w:t>
      </w:r>
    </w:p>
    <w:p w14:paraId="5DA454AF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atLeast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6——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切纸器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  14——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挤压辊</w:t>
      </w:r>
    </w:p>
    <w:p w14:paraId="0BF96BC6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7——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收纸机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  15——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干燥温度70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℃</w:t>
      </w:r>
      <w:r>
        <w:rPr>
          <w:rFonts w:hint="eastAsia" w:ascii="宋体" w:hAnsi="宋体" w:eastAsia="宋体" w:cs="宋体"/>
        </w:rPr>
        <w:t>～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100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℃</w:t>
      </w:r>
    </w:p>
    <w:p w14:paraId="0B41BB8F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8——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纸张纵向搭口3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mm</w:t>
      </w:r>
      <w:r>
        <w:rPr>
          <w:rFonts w:hint="eastAsia" w:ascii="宋体" w:hAnsi="宋体" w:eastAsia="宋体" w:cs="宋体"/>
        </w:rPr>
        <w:t>～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8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mm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</w:t>
      </w:r>
      <w:r>
        <w:rPr>
          <w:rFonts w:hint="eastAsia" w:hAnsi="宋体" w:cs="宋体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16——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贴合温度85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℃</w:t>
      </w:r>
      <w:r>
        <w:rPr>
          <w:rFonts w:hint="eastAsia" w:ascii="宋体" w:hAnsi="宋体" w:eastAsia="宋体" w:cs="宋体"/>
        </w:rPr>
        <w:t>～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110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℃</w:t>
      </w:r>
    </w:p>
    <w:p w14:paraId="0DCA38E2">
      <w:pPr>
        <w:pStyle w:val="54"/>
        <w:numPr>
          <w:ilvl w:val="1"/>
          <w:numId w:val="0"/>
        </w:numPr>
        <w:spacing w:before="156" w:after="156" w:line="360" w:lineRule="auto"/>
        <w:ind w:leftChars="0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图1 水性胶干式覆膜原理示意图</w:t>
      </w:r>
    </w:p>
    <w:p w14:paraId="472F162A">
      <w:pPr>
        <w:pStyle w:val="53"/>
        <w:rPr>
          <w:rFonts w:hint="eastAsia"/>
          <w:lang w:val="en-US" w:eastAsia="zh-CN"/>
        </w:rPr>
      </w:pPr>
    </w:p>
    <w:p w14:paraId="6785AE76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20" w:lineRule="atLeast"/>
        <w:jc w:val="left"/>
        <w:textAlignment w:val="auto"/>
        <w:outlineLvl w:val="9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4.3.1.2</w:t>
      </w:r>
      <w:r>
        <w:rPr>
          <w:rFonts w:hint="eastAsia" w:hAnsi="黑体" w:cs="黑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覆膜前，薄膜、水基胶黏剂与纸质印刷品在覆膜环境中至少要放置4</w:t>
      </w:r>
      <w:r>
        <w:rPr>
          <w:rFonts w:hint="eastAsia" w:ascii="宋体" w:hAnsi="宋体" w:eastAsia="宋体" w:cs="宋体"/>
          <w:lang w:val="en-US" w:eastAsia="zh-CN"/>
        </w:rPr>
        <w:t>h</w:t>
      </w:r>
      <w:r>
        <w:rPr>
          <w:rFonts w:hint="eastAsia" w:ascii="宋体" w:hAnsi="宋体" w:eastAsia="宋体" w:cs="宋体"/>
        </w:rPr>
        <w:t>,使之与现场温湿度相适应后再进行覆膜。</w:t>
      </w:r>
    </w:p>
    <w:p w14:paraId="6B36F208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4.3.1.3 </w:t>
      </w:r>
      <w:r>
        <w:rPr>
          <w:rFonts w:hint="eastAsia" w:ascii="宋体" w:hAnsi="宋体" w:eastAsia="宋体" w:cs="宋体"/>
          <w:lang w:val="en-US" w:eastAsia="zh-CN"/>
        </w:rPr>
        <w:t>覆膜前应</w:t>
      </w:r>
      <w:r>
        <w:rPr>
          <w:rFonts w:hint="eastAsia" w:ascii="宋体" w:hAnsi="宋体" w:eastAsia="宋体" w:cs="宋体"/>
          <w:highlight w:val="none"/>
          <w:lang w:val="en-US" w:eastAsia="zh-CN"/>
        </w:rPr>
        <w:t>对薄膜和纸质印刷品的润湿张力进行重新测试，确认润湿张力不应小于38</w:t>
      </w:r>
      <w:r>
        <w:rPr>
          <w:rFonts w:hint="eastAsia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>mN/m。</w:t>
      </w:r>
    </w:p>
    <w:p w14:paraId="41D03D3A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" w:lineRule="atLeast"/>
        <w:ind w:left="0" w:leftChars="0" w:firstLine="0" w:firstLineChars="0"/>
        <w:textAlignment w:val="auto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4.3.1.4 </w:t>
      </w:r>
      <w:r>
        <w:rPr>
          <w:rFonts w:hint="eastAsia" w:ascii="宋体" w:hAnsi="宋体" w:eastAsia="宋体" w:cs="宋体"/>
          <w:highlight w:val="none"/>
          <w:lang w:val="en-US" w:eastAsia="zh-CN"/>
        </w:rPr>
        <w:t>纸质印刷品表面墨层应进行附着力测试，使用粘力为10</w:t>
      </w:r>
      <w:r>
        <w:rPr>
          <w:rFonts w:hint="eastAsia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>N/25mm的胶黏带进行反剥拉力测试，墨层不应发生脱落现象。</w:t>
      </w:r>
    </w:p>
    <w:p w14:paraId="75CBC169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4.3.1.5 </w:t>
      </w:r>
      <w:r>
        <w:rPr>
          <w:rFonts w:hint="eastAsia" w:ascii="宋体" w:hAnsi="宋体" w:eastAsia="宋体" w:cs="宋体"/>
          <w:highlight w:val="none"/>
          <w:lang w:val="en-US" w:eastAsia="zh-CN"/>
        </w:rPr>
        <w:t>覆膜设备应保持清洁，每周应至少清洁一次上胶辊表面和胶槽内部的胶皮，不应有杂物。</w:t>
      </w:r>
    </w:p>
    <w:p w14:paraId="50C76784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highlight w:val="yellow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4.3.1.6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水基胶黏剂容器应加盖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循环过滤装置。</w:t>
      </w:r>
    </w:p>
    <w:p w14:paraId="61C50BD1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4.3.2</w:t>
      </w:r>
      <w:r>
        <w:rPr>
          <w:rFonts w:hint="eastAsia" w:ascii="黑体" w:hAnsi="黑体" w:eastAsia="黑体" w:cs="黑体"/>
        </w:rPr>
        <w:t xml:space="preserve"> 覆膜环境</w:t>
      </w:r>
    </w:p>
    <w:p w14:paraId="5EAC9B3D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4.3.2</w:t>
      </w:r>
      <w:r>
        <w:rPr>
          <w:rFonts w:hint="eastAsia" w:ascii="黑体" w:hAnsi="黑体" w:eastAsia="黑体" w:cs="黑体"/>
        </w:rPr>
        <w:t xml:space="preserve">.1 </w:t>
      </w:r>
      <w:r>
        <w:rPr>
          <w:rFonts w:hint="eastAsia" w:ascii="宋体" w:hAnsi="宋体" w:eastAsia="宋体" w:cs="宋体"/>
        </w:rPr>
        <w:t>覆膜环境应洁净。</w:t>
      </w:r>
    </w:p>
    <w:p w14:paraId="69CCE5D8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lang w:val="en-US" w:eastAsia="zh-CN"/>
        </w:rPr>
        <w:t>4.3.2</w:t>
      </w:r>
      <w:r>
        <w:rPr>
          <w:rFonts w:hint="eastAsia" w:ascii="黑体" w:hAnsi="黑体" w:eastAsia="黑体" w:cs="黑体"/>
        </w:rPr>
        <w:t xml:space="preserve">.2 </w:t>
      </w:r>
      <w:r>
        <w:rPr>
          <w:rFonts w:hint="eastAsia" w:ascii="宋体" w:hAnsi="宋体" w:eastAsia="宋体" w:cs="宋体"/>
        </w:rPr>
        <w:t>覆膜车间的温度</w:t>
      </w:r>
      <w:r>
        <w:rPr>
          <w:rFonts w:hint="eastAsia" w:ascii="宋体" w:hAnsi="宋体" w:eastAsia="宋体" w:cs="宋体"/>
          <w:lang w:val="en-US" w:eastAsia="zh-CN"/>
        </w:rPr>
        <w:t>宜</w:t>
      </w:r>
      <w:r>
        <w:rPr>
          <w:rFonts w:hint="eastAsia" w:ascii="宋体" w:hAnsi="宋体" w:eastAsia="宋体" w:cs="宋体"/>
        </w:rPr>
        <w:t>控制在（23±</w:t>
      </w: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）℃。</w:t>
      </w:r>
    </w:p>
    <w:p w14:paraId="77211E5A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4.3.2</w:t>
      </w:r>
      <w:r>
        <w:rPr>
          <w:rFonts w:hint="eastAsia" w:ascii="黑体" w:hAnsi="黑体" w:eastAsia="黑体" w:cs="黑体"/>
        </w:rPr>
        <w:t xml:space="preserve">.3 </w:t>
      </w:r>
      <w:r>
        <w:rPr>
          <w:rFonts w:hint="eastAsia" w:ascii="宋体" w:hAnsi="宋体" w:eastAsia="宋体" w:cs="宋体"/>
        </w:rPr>
        <w:t>覆膜车间的相对湿度</w:t>
      </w:r>
      <w:r>
        <w:rPr>
          <w:rFonts w:hint="eastAsia" w:ascii="宋体" w:hAnsi="宋体" w:eastAsia="宋体" w:cs="宋体"/>
          <w:lang w:val="en-US" w:eastAsia="zh-CN"/>
        </w:rPr>
        <w:t>宜</w:t>
      </w:r>
      <w:r>
        <w:rPr>
          <w:rFonts w:hint="eastAsia" w:ascii="宋体" w:hAnsi="宋体" w:eastAsia="宋体" w:cs="宋体"/>
        </w:rPr>
        <w:t>控制在</w:t>
      </w:r>
      <w:r>
        <w:rPr>
          <w:rFonts w:hint="eastAsia" w:ascii="宋体" w:hAnsi="宋体" w:eastAsia="宋体" w:cs="宋体"/>
          <w:highlight w:val="none"/>
        </w:rPr>
        <w:t xml:space="preserve"> (</w:t>
      </w:r>
      <w:r>
        <w:rPr>
          <w:rFonts w:hint="eastAsia" w:ascii="宋体" w:hAnsi="宋体" w:eastAsia="宋体" w:cs="宋体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highlight w:val="none"/>
        </w:rPr>
        <w:t>0±</w:t>
      </w:r>
      <w:r>
        <w:rPr>
          <w:rFonts w:hint="eastAsia" w:ascii="宋体" w:hAnsi="宋体" w:eastAsia="宋体" w:cs="宋体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highlight w:val="none"/>
        </w:rPr>
        <w:t>)%</w:t>
      </w:r>
      <w:r>
        <w:rPr>
          <w:rFonts w:hint="eastAsia" w:ascii="宋体" w:hAnsi="宋体" w:eastAsia="宋体" w:cs="宋体"/>
        </w:rPr>
        <w:t>。</w:t>
      </w:r>
    </w:p>
    <w:p w14:paraId="5123E8F4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4.3.3</w:t>
      </w:r>
      <w:r>
        <w:rPr>
          <w:rFonts w:hint="eastAsia" w:ascii="黑体" w:hAnsi="黑体" w:eastAsia="黑体" w:cs="黑体"/>
        </w:rPr>
        <w:t xml:space="preserve"> 覆膜工艺温度</w:t>
      </w:r>
    </w:p>
    <w:p w14:paraId="781A9A2B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lang w:val="en-US" w:eastAsia="zh-CN"/>
        </w:rPr>
        <w:t>4.3.3</w:t>
      </w:r>
      <w:r>
        <w:rPr>
          <w:rFonts w:hint="eastAsia" w:ascii="黑体" w:hAnsi="黑体" w:eastAsia="黑体" w:cs="黑体"/>
        </w:rPr>
        <w:t xml:space="preserve">.1 </w:t>
      </w:r>
      <w:r>
        <w:rPr>
          <w:rFonts w:hint="eastAsia" w:ascii="宋体" w:hAnsi="宋体" w:eastAsia="宋体" w:cs="宋体"/>
          <w:lang w:val="en-US" w:eastAsia="zh-CN"/>
        </w:rPr>
        <w:t>应</w:t>
      </w:r>
      <w:r>
        <w:rPr>
          <w:rFonts w:hint="eastAsia" w:ascii="宋体" w:hAnsi="宋体" w:eastAsia="宋体" w:cs="宋体"/>
        </w:rPr>
        <w:t>根据纸质印刷品的</w:t>
      </w:r>
      <w:r>
        <w:rPr>
          <w:rFonts w:hint="eastAsia" w:ascii="宋体" w:hAnsi="宋体" w:eastAsia="宋体" w:cs="宋体"/>
          <w:lang w:val="en-US" w:eastAsia="zh-CN"/>
        </w:rPr>
        <w:t>印刷墨层状态和印后加工需求设定涂胶烘干温度为7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宋体" w:hAnsi="宋体" w:eastAsia="宋体" w:cs="宋体"/>
        </w:rPr>
        <w:t>～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覆膜压合温度</w:t>
      </w:r>
      <w:r>
        <w:rPr>
          <w:rFonts w:hint="eastAsia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85</w:t>
      </w:r>
      <w:r>
        <w:rPr>
          <w:rFonts w:hint="eastAsia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宋体" w:hAnsi="宋体" w:eastAsia="宋体" w:cs="宋体"/>
        </w:rPr>
        <w:t>～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110</w:t>
      </w:r>
      <w:r>
        <w:rPr>
          <w:rFonts w:hint="eastAsia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具体宜符合表1的技术要求。</w:t>
      </w:r>
    </w:p>
    <w:p w14:paraId="39D4A5C5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表1 覆膜压合温度技术要求</w:t>
      </w:r>
    </w:p>
    <w:tbl>
      <w:tblPr>
        <w:tblStyle w:val="30"/>
        <w:tblW w:w="0" w:type="auto"/>
        <w:tblInd w:w="4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9"/>
        <w:gridCol w:w="4152"/>
      </w:tblGrid>
      <w:tr w14:paraId="3BF91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 w14:paraId="47A06A31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印刷墨层状态和印后加工需求</w:t>
            </w:r>
          </w:p>
        </w:tc>
        <w:tc>
          <w:tcPr>
            <w:tcW w:w="4152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7F739D5B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覆膜压合温度</w:t>
            </w:r>
          </w:p>
        </w:tc>
      </w:tr>
      <w:tr w14:paraId="2F07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</w:tcPr>
          <w:p w14:paraId="2B5C6BD2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一般印刷墨层状态（含压凹凸）</w:t>
            </w:r>
          </w:p>
        </w:tc>
        <w:tc>
          <w:tcPr>
            <w:tcW w:w="4152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D0708CA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  <w:r>
              <w:rPr>
                <w:rFonts w:hint="eastAsia" w:ascii="宋体" w:hAnsi="宋体" w:eastAsia="宋体" w:cs="宋体"/>
              </w:rPr>
              <w:t>～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</w:tr>
      <w:tr w14:paraId="6CA8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</w:tcPr>
          <w:p w14:paraId="584C1C10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大实地、深颜色墨层状态（含压凹凸）</w:t>
            </w:r>
          </w:p>
        </w:tc>
        <w:tc>
          <w:tcPr>
            <w:tcW w:w="415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7F9BB5D2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  <w:r>
              <w:rPr>
                <w:rFonts w:hint="eastAsia" w:ascii="宋体" w:hAnsi="宋体" w:eastAsia="宋体" w:cs="宋体"/>
              </w:rPr>
              <w:t>～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105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</w:tr>
      <w:tr w14:paraId="6097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</w:tcPr>
          <w:p w14:paraId="13FE4CA3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镀铝膜覆膜后无压凹凸</w:t>
            </w:r>
          </w:p>
        </w:tc>
        <w:tc>
          <w:tcPr>
            <w:tcW w:w="4152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2BB7A498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  <w:r>
              <w:rPr>
                <w:rFonts w:hint="eastAsia" w:ascii="宋体" w:hAnsi="宋体" w:eastAsia="宋体" w:cs="宋体"/>
              </w:rPr>
              <w:t>～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</w:tr>
      <w:tr w14:paraId="4449F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</w:tcPr>
          <w:p w14:paraId="7016F541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镀铝膜覆膜后有压凹凸</w:t>
            </w:r>
          </w:p>
        </w:tc>
        <w:tc>
          <w:tcPr>
            <w:tcW w:w="4152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724B2094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  <w:r>
              <w:rPr>
                <w:rFonts w:hint="eastAsia" w:ascii="宋体" w:hAnsi="宋体" w:eastAsia="宋体" w:cs="宋体"/>
              </w:rPr>
              <w:t>～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</w:t>
            </w:r>
            <w:r>
              <w:rPr>
                <w:rFonts w:hint="eastAsia" w:hAnsi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</w:tr>
    </w:tbl>
    <w:p w14:paraId="15759FEA">
      <w:pPr>
        <w:pStyle w:val="53"/>
        <w:spacing w:line="300" w:lineRule="auto"/>
        <w:ind w:firstLine="0" w:firstLineChars="0"/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1F6DF833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</w:t>
      </w:r>
      <w:r>
        <w:rPr>
          <w:rFonts w:hint="eastAsia" w:ascii="黑体" w:hAnsi="黑体" w:eastAsia="黑体" w:cs="黑体"/>
        </w:rPr>
        <w:t xml:space="preserve">.3.2 </w:t>
      </w:r>
      <w:r>
        <w:rPr>
          <w:rFonts w:hint="eastAsia" w:ascii="宋体" w:hAnsi="宋体" w:eastAsia="宋体" w:cs="宋体"/>
        </w:rPr>
        <w:t>同批次产品覆膜工艺温度应稳定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温度允差不应大于5</w:t>
      </w:r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℃</w:t>
      </w:r>
      <w:r>
        <w:rPr>
          <w:rFonts w:hint="eastAsia" w:ascii="宋体" w:hAnsi="宋体" w:eastAsia="宋体" w:cs="宋体"/>
        </w:rPr>
        <w:t>。</w:t>
      </w:r>
    </w:p>
    <w:p w14:paraId="02306E81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4.3.4</w:t>
      </w:r>
      <w:r>
        <w:rPr>
          <w:rFonts w:hint="eastAsia" w:ascii="黑体" w:hAnsi="黑体" w:eastAsia="黑体" w:cs="黑体"/>
          <w:lang w:eastAsia="zh-TW"/>
        </w:rPr>
        <w:t xml:space="preserve"> </w:t>
      </w:r>
      <w:r>
        <w:rPr>
          <w:rFonts w:hint="eastAsia" w:ascii="黑体" w:hAnsi="黑体" w:eastAsia="黑体" w:cs="黑体"/>
        </w:rPr>
        <w:t>覆膜速度</w:t>
      </w:r>
    </w:p>
    <w:p w14:paraId="65A74CA8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val="en-US" w:eastAsia="zh-CN"/>
        </w:rPr>
        <w:t>4.3</w:t>
      </w:r>
      <w:r>
        <w:rPr>
          <w:rFonts w:hint="eastAsia" w:ascii="黑体" w:hAnsi="黑体" w:eastAsia="黑体" w:cs="黑体"/>
        </w:rPr>
        <w:t>.4.1</w:t>
      </w:r>
      <w:r>
        <w:rPr>
          <w:rFonts w:hint="eastAsia" w:ascii="黑体" w:hAnsi="黑体" w:eastAsia="黑体" w:cs="黑体"/>
          <w:b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应</w:t>
      </w:r>
      <w:r>
        <w:rPr>
          <w:rFonts w:hint="eastAsia" w:ascii="宋体" w:hAnsi="宋体" w:eastAsia="宋体" w:cs="宋体"/>
        </w:rPr>
        <w:t>根据纸质印刷品的</w:t>
      </w:r>
      <w:r>
        <w:rPr>
          <w:rFonts w:hint="eastAsia" w:ascii="宋体" w:hAnsi="宋体" w:eastAsia="宋体" w:cs="宋体"/>
          <w:lang w:val="en-US" w:eastAsia="zh-CN"/>
        </w:rPr>
        <w:t>印刷墨层状态和印后加工需求设定</w:t>
      </w:r>
      <w:r>
        <w:rPr>
          <w:rFonts w:hint="eastAsia" w:ascii="宋体" w:hAnsi="宋体" w:eastAsia="宋体" w:cs="宋体"/>
        </w:rPr>
        <w:t>覆膜速度，应控制在8</w:t>
      </w:r>
      <w:bookmarkStart w:id="14" w:name="OLE_LINK1"/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m/min～</w:t>
      </w:r>
      <w:bookmarkEnd w:id="14"/>
      <w:r>
        <w:rPr>
          <w:rFonts w:hint="eastAsia" w:ascii="宋体" w:hAnsi="宋体" w:eastAsia="宋体" w:cs="宋体"/>
        </w:rPr>
        <w:t>50</w:t>
      </w:r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m/min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具体覆膜速度应符合表2技术要求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7CA862A4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表2 覆膜速度技术要求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2"/>
        <w:gridCol w:w="3192"/>
        <w:gridCol w:w="3192"/>
      </w:tblGrid>
      <w:tr w14:paraId="36F05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FFADDCC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覆膜后加工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E666701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覆膜速度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29BFC4F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 w14:paraId="6C64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61BCD7FD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压痕、烫金、丝印上光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1D178940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35</w:t>
            </w:r>
            <w:r>
              <w:rPr>
                <w:rFonts w:hint="eastAsia" w:hAnsi="宋体" w:cs="宋体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m/min～50</w:t>
            </w:r>
            <w:r>
              <w:rPr>
                <w:rFonts w:hint="eastAsia" w:hAnsi="宋体" w:cs="宋体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m/min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49AECC6">
            <w:pPr>
              <w:pStyle w:val="53"/>
              <w:widowControl w:val="0"/>
              <w:spacing w:line="300" w:lineRule="auto"/>
              <w:ind w:left="0" w:leftChars="0" w:firstLine="0" w:firstLineChars="0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根据纸质印刷品大小调整速度，越小，速度相对调慢；越大，可适当调快</w:t>
            </w:r>
          </w:p>
        </w:tc>
      </w:tr>
      <w:tr w14:paraId="7B112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7A371676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双面覆膜、压纹、压凹凸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4C9037A7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≤30</w:t>
            </w:r>
            <w:r>
              <w:rPr>
                <w:rFonts w:hint="eastAsia" w:hAnsi="宋体" w:cs="宋体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m/min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4B5F9839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/</w:t>
            </w:r>
          </w:p>
        </w:tc>
      </w:tr>
      <w:tr w14:paraId="475F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11054EEF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压纹+压凹凸（加工组合）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27605F7A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≤25</w:t>
            </w:r>
            <w:r>
              <w:rPr>
                <w:rFonts w:hint="eastAsia" w:hAnsi="宋体" w:cs="宋体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m/min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0CBD4545">
            <w:pPr>
              <w:pStyle w:val="53"/>
              <w:widowControl w:val="0"/>
              <w:spacing w:line="300" w:lineRule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/</w:t>
            </w:r>
          </w:p>
        </w:tc>
      </w:tr>
    </w:tbl>
    <w:p w14:paraId="57311F53">
      <w:pPr>
        <w:pStyle w:val="53"/>
        <w:spacing w:line="300" w:lineRule="auto"/>
        <w:ind w:firstLine="0" w:firstLineChars="0"/>
        <w:rPr>
          <w:rFonts w:hint="eastAsia" w:ascii="黑体" w:hAnsi="黑体" w:eastAsia="黑体" w:cs="黑体"/>
          <w:lang w:val="en-US" w:eastAsia="zh-CN"/>
        </w:rPr>
      </w:pPr>
    </w:p>
    <w:p w14:paraId="58785053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4.3</w:t>
      </w:r>
      <w:r>
        <w:rPr>
          <w:rFonts w:hint="eastAsia" w:ascii="黑体" w:hAnsi="黑体" w:eastAsia="黑体" w:cs="黑体"/>
        </w:rPr>
        <w:t xml:space="preserve">.4.2  </w:t>
      </w:r>
      <w:r>
        <w:rPr>
          <w:rFonts w:hint="eastAsia" w:ascii="宋体" w:hAnsi="宋体" w:eastAsia="宋体" w:cs="宋体"/>
          <w:color w:val="000000"/>
        </w:rPr>
        <w:t>同批次产品覆膜速度应稳定</w:t>
      </w:r>
      <w:r>
        <w:rPr>
          <w:rFonts w:hint="eastAsia" w:ascii="宋体" w:hAnsi="宋体" w:eastAsia="宋体" w:cs="宋体"/>
          <w:color w:val="00000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lang w:val="en-US" w:eastAsia="zh-CN"/>
        </w:rPr>
        <w:t>速度允差不应大于3</w:t>
      </w:r>
      <w:r>
        <w:rPr>
          <w:rFonts w:hint="eastAsia" w:hAnsi="宋体" w:cs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lang w:val="en-US" w:eastAsia="zh-CN"/>
        </w:rPr>
        <w:t>m/min</w:t>
      </w:r>
      <w:r>
        <w:rPr>
          <w:rFonts w:hint="eastAsia" w:ascii="宋体" w:hAnsi="宋体" w:eastAsia="宋体" w:cs="宋体"/>
        </w:rPr>
        <w:t>。</w:t>
      </w:r>
    </w:p>
    <w:p w14:paraId="36E7F9E6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</w:t>
      </w:r>
      <w:r>
        <w:rPr>
          <w:rFonts w:hint="eastAsia" w:ascii="黑体" w:hAnsi="黑体" w:eastAsia="黑体" w:cs="黑体"/>
        </w:rPr>
        <w:t>.5 覆膜压强</w:t>
      </w:r>
    </w:p>
    <w:p w14:paraId="5A5AD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应</w:t>
      </w:r>
      <w:r>
        <w:rPr>
          <w:rFonts w:hint="eastAsia" w:ascii="宋体" w:hAnsi="宋体" w:eastAsia="宋体" w:cs="宋体"/>
          <w:sz w:val="21"/>
          <w:szCs w:val="21"/>
        </w:rPr>
        <w:t>根据纸质印刷品的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印刷墨层状态</w:t>
      </w:r>
      <w:r>
        <w:rPr>
          <w:rFonts w:hint="eastAsia" w:ascii="宋体" w:hAnsi="宋体" w:eastAsia="宋体" w:cs="宋体"/>
          <w:sz w:val="21"/>
          <w:szCs w:val="21"/>
        </w:rPr>
        <w:t>设定覆膜压强，应控制在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9.0±1.5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MPa。</w:t>
      </w:r>
    </w:p>
    <w:p w14:paraId="4290AC3D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4.3</w:t>
      </w:r>
      <w:r>
        <w:rPr>
          <w:rFonts w:hint="eastAsia" w:ascii="黑体" w:hAnsi="黑体" w:eastAsia="黑体" w:cs="黑体"/>
          <w:color w:val="000000"/>
          <w:szCs w:val="21"/>
        </w:rPr>
        <w:t>.6</w:t>
      </w:r>
      <w:r>
        <w:rPr>
          <w:rFonts w:hint="eastAsia" w:ascii="黑体" w:hAnsi="黑体" w:eastAsia="黑体" w:cs="黑体"/>
          <w:b/>
          <w:color w:val="000000"/>
          <w:szCs w:val="21"/>
          <w:lang w:eastAsia="zh-TW"/>
        </w:rPr>
        <w:t xml:space="preserve"> </w:t>
      </w:r>
      <w:r>
        <w:rPr>
          <w:rFonts w:hint="eastAsia" w:ascii="黑体" w:hAnsi="黑体" w:eastAsia="黑体" w:cs="黑体"/>
        </w:rPr>
        <w:t>放卷张力</w:t>
      </w:r>
    </w:p>
    <w:p w14:paraId="33E5B09E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宋体" w:hAnsi="宋体" w:eastAsia="宋体" w:cs="宋体"/>
        </w:rPr>
        <w:t>均匀、适度，薄膜平整和覆膜后成品不卷曲。</w:t>
      </w:r>
    </w:p>
    <w:p w14:paraId="4005DBCD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</w:t>
      </w:r>
      <w:r>
        <w:rPr>
          <w:rFonts w:hint="eastAsia" w:ascii="黑体" w:hAnsi="黑体" w:eastAsia="黑体" w:cs="黑体"/>
        </w:rPr>
        <w:t>.7 涂胶量</w:t>
      </w:r>
    </w:p>
    <w:p w14:paraId="220EE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0" w:firstLineChars="200"/>
        <w:textAlignment w:val="baseline"/>
        <w:rPr>
          <w:rFonts w:hint="eastAsia" w:ascii="黑体" w:hAnsi="黑体" w:eastAsia="黑体" w:cs="黑体"/>
        </w:rPr>
      </w:pPr>
      <w:r>
        <w:rPr>
          <w:rFonts w:hint="eastAsia" w:ascii="宋体" w:hAnsi="宋体" w:eastAsia="宋体" w:cs="宋体"/>
          <w:sz w:val="21"/>
          <w:lang w:val="en-US" w:eastAsia="zh-CN" w:bidi="ar-SA"/>
        </w:rPr>
        <w:t>应根据纸质印刷品的印刷墨层状态和材质粗糙度设定涂胶量，应控制在</w:t>
      </w:r>
      <w:r>
        <w:rPr>
          <w:rFonts w:hint="eastAsia" w:ascii="宋体" w:hAnsi="宋体" w:cs="宋体"/>
          <w:sz w:val="21"/>
          <w:lang w:val="en-US" w:eastAsia="zh-CN" w:bidi="ar-SA"/>
        </w:rPr>
        <w:t>（</w:t>
      </w:r>
      <w:r>
        <w:rPr>
          <w:rFonts w:hint="eastAsia" w:ascii="宋体" w:hAnsi="宋体" w:eastAsia="宋体" w:cs="宋体"/>
          <w:sz w:val="21"/>
          <w:lang w:val="en-US" w:eastAsia="zh-CN" w:bidi="ar-SA"/>
        </w:rPr>
        <w:t>15±5</w:t>
      </w:r>
      <w:r>
        <w:rPr>
          <w:rFonts w:hint="eastAsia" w:ascii="宋体" w:hAnsi="宋体" w:cs="宋体"/>
          <w:sz w:val="21"/>
          <w:lang w:val="en-US" w:eastAsia="zh-CN" w:bidi="ar-SA"/>
        </w:rPr>
        <w:t>）</w:t>
      </w:r>
      <w:r>
        <w:rPr>
          <w:rFonts w:hint="eastAsia" w:ascii="宋体" w:hAnsi="宋体" w:eastAsia="宋体" w:cs="宋体"/>
          <w:sz w:val="21"/>
          <w:lang w:val="en-US" w:eastAsia="zh-CN" w:bidi="ar-SA"/>
        </w:rPr>
        <w:t>g/m</w:t>
      </w:r>
      <w:r>
        <w:rPr>
          <w:rFonts w:hint="eastAsia" w:ascii="宋体" w:hAnsi="宋体" w:eastAsia="宋体" w:cs="宋体"/>
          <w:sz w:val="21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sz w:val="21"/>
          <w:lang w:val="en-US" w:eastAsia="zh-CN" w:bidi="ar-SA"/>
        </w:rPr>
        <w:t>。</w:t>
      </w:r>
    </w:p>
    <w:p w14:paraId="2B683640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4.3</w:t>
      </w:r>
      <w:r>
        <w:rPr>
          <w:rFonts w:hint="eastAsia" w:ascii="黑体" w:hAnsi="黑体" w:eastAsia="黑体" w:cs="黑体"/>
        </w:rPr>
        <w:t>.8 操作要求</w:t>
      </w:r>
    </w:p>
    <w:p w14:paraId="2C2F7B23">
      <w:pPr>
        <w:pStyle w:val="5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0" w:firstLineChars="0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>4.3</w:t>
      </w:r>
      <w:r>
        <w:rPr>
          <w:rFonts w:hint="eastAsia" w:ascii="黑体" w:hAnsi="黑体" w:eastAsia="黑体" w:cs="黑体"/>
          <w:szCs w:val="21"/>
        </w:rPr>
        <w:t xml:space="preserve">.8.1 </w:t>
      </w:r>
      <w:r>
        <w:rPr>
          <w:rFonts w:hint="eastAsia" w:ascii="宋体" w:hAnsi="宋体" w:eastAsia="宋体" w:cs="宋体"/>
          <w:szCs w:val="21"/>
        </w:rPr>
        <w:t>纸质印刷品应除粉、压平。</w:t>
      </w:r>
    </w:p>
    <w:p w14:paraId="7AEAA4C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4.3</w:t>
      </w:r>
      <w:r>
        <w:rPr>
          <w:rFonts w:hint="eastAsia" w:ascii="黑体" w:hAnsi="黑体" w:eastAsia="黑体" w:cs="黑体"/>
          <w:sz w:val="21"/>
          <w:szCs w:val="21"/>
        </w:rPr>
        <w:t xml:space="preserve">.8.2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单张</w:t>
      </w:r>
      <w:r>
        <w:rPr>
          <w:rFonts w:hint="eastAsia" w:ascii="宋体" w:hAnsi="宋体" w:eastAsia="宋体" w:cs="宋体"/>
          <w:sz w:val="21"/>
          <w:szCs w:val="21"/>
        </w:rPr>
        <w:t>纸质印刷品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覆膜时，</w:t>
      </w:r>
      <w:r>
        <w:rPr>
          <w:rFonts w:hint="eastAsia" w:ascii="宋体" w:hAnsi="宋体" w:eastAsia="宋体" w:cs="宋体"/>
          <w:sz w:val="21"/>
          <w:szCs w:val="21"/>
        </w:rPr>
        <w:t>输纸正确，避免歪斜。纵向应有搭口(叠加)，搭口部分为3mm～8mm。</w:t>
      </w:r>
    </w:p>
    <w:p w14:paraId="362A2B1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4.3</w:t>
      </w:r>
      <w:r>
        <w:rPr>
          <w:rFonts w:hint="eastAsia" w:ascii="黑体" w:hAnsi="黑体" w:eastAsia="黑体" w:cs="黑体"/>
          <w:sz w:val="21"/>
          <w:szCs w:val="21"/>
        </w:rPr>
        <w:t>.8.3</w:t>
      </w:r>
      <w:r>
        <w:rPr>
          <w:rFonts w:hint="eastAsia" w:ascii="黑体" w:hAnsi="黑体" w:eastAsia="黑体" w:cs="黑体"/>
          <w:b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纸质印刷品的含水率宜控制在10%</w:t>
      </w:r>
      <w:r>
        <w:rPr>
          <w:rFonts w:hint="eastAsia" w:ascii="宋体" w:hAnsi="宋体" w:eastAsia="宋体" w:cs="宋体"/>
          <w:sz w:val="21"/>
          <w:szCs w:val="21"/>
        </w:rPr>
        <w:t>～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12%，环境湿度宜控制在45%</w:t>
      </w:r>
      <w:r>
        <w:rPr>
          <w:rFonts w:hint="eastAsia" w:ascii="宋体" w:hAnsi="宋体" w:eastAsia="宋体" w:cs="宋体"/>
          <w:sz w:val="21"/>
          <w:szCs w:val="21"/>
        </w:rPr>
        <w:t>～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75%，避免覆膜出现皱纸问题；当环境湿度75%以上，或湿度低于45%以下，覆膜成品应密封，通常使用保鲜膜缠绕，稳定纸张含水率。</w:t>
      </w:r>
    </w:p>
    <w:p w14:paraId="2B45FAF3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bookmarkStart w:id="15" w:name="_Toc262047532"/>
      <w:r>
        <w:rPr>
          <w:rFonts w:hint="eastAsia" w:ascii="黑体" w:hAnsi="黑体" w:eastAsia="黑体" w:cs="黑体"/>
          <w:lang w:val="en-US" w:eastAsia="zh-CN"/>
        </w:rPr>
        <w:t>4.4 成品质量要求</w:t>
      </w:r>
      <w:bookmarkEnd w:id="15"/>
    </w:p>
    <w:p w14:paraId="46724FD2"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bookmarkStart w:id="16" w:name="_Toc262047533"/>
      <w:r>
        <w:rPr>
          <w:rFonts w:hint="eastAsia" w:ascii="宋体" w:hAnsi="宋体" w:eastAsia="宋体" w:cs="宋体"/>
          <w:lang w:val="en-US" w:eastAsia="zh-CN"/>
        </w:rPr>
        <w:t>覆膜熟化24 h后应符合GB/T 27934.1</w:t>
      </w:r>
      <w:r>
        <w:rPr>
          <w:rFonts w:hint="eastAsia" w:hAnsi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t>2011中第5章的规定。</w:t>
      </w:r>
      <w:bookmarkEnd w:id="16"/>
    </w:p>
    <w:p w14:paraId="6184FA06">
      <w:pPr>
        <w:pStyle w:val="54"/>
        <w:numPr>
          <w:ilvl w:val="0"/>
          <w:numId w:val="14"/>
        </w:numPr>
        <w:spacing w:before="156" w:after="156" w:line="360" w:lineRule="auto"/>
        <w:rPr>
          <w:rFonts w:hint="eastAsia" w:ascii="黑体" w:hAnsi="黑体" w:eastAsia="黑体" w:cs="黑体"/>
        </w:rPr>
      </w:pPr>
      <w:bookmarkStart w:id="17" w:name="_Toc262047534"/>
      <w:r>
        <w:rPr>
          <w:rFonts w:hint="eastAsia" w:ascii="黑体" w:hAnsi="黑体" w:eastAsia="黑体" w:cs="黑体"/>
        </w:rPr>
        <w:t>检测方法</w:t>
      </w:r>
      <w:bookmarkEnd w:id="17"/>
    </w:p>
    <w:p w14:paraId="0E4F380F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.1 原材料的检测</w:t>
      </w:r>
    </w:p>
    <w:p w14:paraId="63412A9A">
      <w:pPr>
        <w:pStyle w:val="19"/>
        <w:spacing w:line="300" w:lineRule="auto"/>
        <w:rPr>
          <w:rFonts w:hint="eastAsia" w:ascii="宋体" w:hAnsi="宋体" w:eastAsia="宋体" w:cs="宋体"/>
          <w:color w:val="000000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 xml:space="preserve">.1.1 </w:t>
      </w:r>
      <w:r>
        <w:rPr>
          <w:rFonts w:hint="eastAsia" w:ascii="宋体" w:hAnsi="宋体" w:eastAsia="宋体" w:cs="宋体"/>
        </w:rPr>
        <w:t>水基胶黏剂固含量按GB/T 2793的要求检测。</w:t>
      </w:r>
    </w:p>
    <w:p w14:paraId="5D7E1CCF">
      <w:pPr>
        <w:pStyle w:val="19"/>
        <w:spacing w:line="300" w:lineRule="auto"/>
        <w:rPr>
          <w:rFonts w:hint="eastAsia" w:ascii="宋体" w:hAnsi="宋体" w:eastAsia="宋体" w:cs="宋体"/>
          <w:color w:val="000000"/>
        </w:rPr>
      </w:pPr>
      <w:r>
        <w:rPr>
          <w:rFonts w:hint="eastAsia" w:ascii="黑体" w:hAnsi="黑体" w:eastAsia="黑体" w:cs="黑体"/>
          <w:color w:val="000000"/>
          <w:lang w:val="en-US" w:eastAsia="zh-CN"/>
        </w:rPr>
        <w:t>5</w:t>
      </w:r>
      <w:r>
        <w:rPr>
          <w:rFonts w:hint="eastAsia" w:ascii="黑体" w:hAnsi="黑体" w:eastAsia="黑体" w:cs="黑体"/>
          <w:color w:val="000000"/>
        </w:rPr>
        <w:t xml:space="preserve">.1.2 </w:t>
      </w:r>
      <w:r>
        <w:rPr>
          <w:rFonts w:hint="eastAsia" w:ascii="宋体" w:hAnsi="宋体" w:eastAsia="宋体" w:cs="宋体"/>
          <w:color w:val="000000"/>
        </w:rPr>
        <w:t>水基胶黏剂黏度使用涂-4杯按</w:t>
      </w:r>
      <w:r>
        <w:rPr>
          <w:rFonts w:hint="eastAsia" w:ascii="宋体" w:hAnsi="宋体" w:eastAsia="宋体" w:cs="宋体"/>
        </w:rPr>
        <w:t>GB/T 1723</w:t>
      </w:r>
      <w:r>
        <w:rPr>
          <w:rFonts w:hint="eastAsia" w:ascii="宋体" w:hAnsi="宋体" w:eastAsia="宋体" w:cs="宋体"/>
          <w:color w:val="000000"/>
        </w:rPr>
        <w:t>中粘度杯法的要求检测。</w:t>
      </w:r>
    </w:p>
    <w:p w14:paraId="5476160C">
      <w:pPr>
        <w:pStyle w:val="19"/>
        <w:spacing w:line="30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 xml:space="preserve">.1.3 </w:t>
      </w:r>
      <w:r>
        <w:rPr>
          <w:rFonts w:hint="eastAsia" w:ascii="宋体" w:hAnsi="宋体" w:eastAsia="宋体" w:cs="宋体"/>
        </w:rPr>
        <w:t>水基胶黏剂酸碱度（pH值）按GB/T 14518的要求检测。</w:t>
      </w:r>
    </w:p>
    <w:p w14:paraId="10E45902">
      <w:pPr>
        <w:pStyle w:val="19"/>
        <w:spacing w:line="300" w:lineRule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5.1.4 </w:t>
      </w:r>
      <w:r>
        <w:rPr>
          <w:rFonts w:hint="eastAsia" w:ascii="宋体" w:hAnsi="宋体" w:eastAsia="宋体" w:cs="宋体"/>
          <w:highlight w:val="none"/>
          <w:lang w:val="en-US" w:eastAsia="zh-CN"/>
        </w:rPr>
        <w:t>水基胶黏剂内苯、甲苯、二甲苯、卤代烃含量按HJ 2541</w:t>
      </w:r>
      <w:r>
        <w:rPr>
          <w:rFonts w:hint="eastAsia" w:hAnsi="宋体" w:cs="宋体"/>
          <w:highlight w:val="none"/>
          <w:lang w:val="en-US" w:eastAsia="zh-CN"/>
        </w:rPr>
        <w:t>-</w:t>
      </w:r>
      <w:r>
        <w:rPr>
          <w:rFonts w:hint="eastAsia" w:ascii="宋体" w:hAnsi="宋体" w:eastAsia="宋体" w:cs="宋体"/>
          <w:highlight w:val="none"/>
          <w:lang w:val="en-US" w:eastAsia="zh-CN"/>
        </w:rPr>
        <w:t>2016第6章相应条款的要求检测。</w:t>
      </w:r>
    </w:p>
    <w:p w14:paraId="27728CDF">
      <w:pPr>
        <w:pStyle w:val="19"/>
        <w:spacing w:line="300" w:lineRule="auto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5.1.5 </w:t>
      </w:r>
      <w:r>
        <w:rPr>
          <w:rFonts w:hint="eastAsia" w:ascii="宋体" w:hAnsi="宋体" w:eastAsia="宋体" w:cs="宋体"/>
          <w:highlight w:val="none"/>
          <w:lang w:val="en-US" w:eastAsia="zh-CN"/>
        </w:rPr>
        <w:t>水基胶黏剂邻苯二甲酸酯、可溶性元素含量、挥发性有机化合物按GB 24613</w:t>
      </w:r>
      <w:r>
        <w:rPr>
          <w:rFonts w:hint="eastAsia" w:hAnsi="宋体" w:cs="宋体"/>
          <w:highlight w:val="none"/>
          <w:lang w:val="en-US" w:eastAsia="zh-CN"/>
        </w:rPr>
        <w:t>-</w:t>
      </w:r>
      <w:r>
        <w:rPr>
          <w:rFonts w:hint="eastAsia" w:ascii="宋体" w:hAnsi="宋体" w:eastAsia="宋体" w:cs="宋体"/>
          <w:highlight w:val="none"/>
          <w:lang w:val="en-US" w:eastAsia="zh-CN"/>
        </w:rPr>
        <w:t>2009第5章相应条款的要求检测。</w:t>
      </w:r>
    </w:p>
    <w:p w14:paraId="1440948E">
      <w:pPr>
        <w:pStyle w:val="19"/>
        <w:spacing w:line="30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.1.</w:t>
      </w:r>
      <w:r>
        <w:rPr>
          <w:rFonts w:hint="eastAsia" w:ascii="黑体" w:hAnsi="黑体" w:eastAsia="黑体" w:cs="黑体"/>
          <w:lang w:val="en-US" w:eastAsia="zh-CN"/>
        </w:rPr>
        <w:t>6</w:t>
      </w:r>
      <w:r>
        <w:rPr>
          <w:rFonts w:hint="eastAsia" w:ascii="黑体" w:hAnsi="黑体" w:eastAsia="黑体" w:cs="黑体"/>
        </w:rPr>
        <w:t xml:space="preserve"> </w:t>
      </w:r>
      <w:r>
        <w:rPr>
          <w:rFonts w:hint="eastAsia" w:ascii="宋体" w:hAnsi="宋体" w:eastAsia="宋体" w:cs="宋体"/>
        </w:rPr>
        <w:t>薄膜性能按GB</w:t>
      </w:r>
      <w:r>
        <w:rPr>
          <w:rFonts w:hint="eastAsia" w:ascii="宋体" w:hAnsi="宋体" w:eastAsia="宋体" w:cs="宋体"/>
          <w:lang w:val="en-US" w:eastAsia="zh-CN"/>
        </w:rPr>
        <w:t>/T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27934</w:t>
      </w:r>
      <w:r>
        <w:rPr>
          <w:rFonts w:hint="eastAsia" w:ascii="宋体" w:hAnsi="宋体" w:eastAsia="宋体" w:cs="宋体"/>
        </w:rPr>
        <w:t>.1</w:t>
      </w:r>
      <w:r>
        <w:rPr>
          <w:rFonts w:hint="eastAsia" w:hAnsi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20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第6.2条款要求检测。</w:t>
      </w:r>
    </w:p>
    <w:p w14:paraId="3B50FCC9">
      <w:pPr>
        <w:pStyle w:val="19"/>
        <w:spacing w:line="300" w:lineRule="auto"/>
        <w:rPr>
          <w:rFonts w:hint="eastAsia" w:ascii="黑体" w:hAnsi="黑体" w:eastAsia="黑体" w:cs="黑体"/>
          <w:highlight w:val="none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highlight w:val="none"/>
        </w:rPr>
        <w:t>.1.</w:t>
      </w:r>
      <w:r>
        <w:rPr>
          <w:rFonts w:hint="eastAsia" w:ascii="黑体" w:hAnsi="黑体" w:eastAsia="黑体" w:cs="黑体"/>
          <w:highlight w:val="none"/>
          <w:lang w:val="en-US" w:eastAsia="zh-CN"/>
        </w:rPr>
        <w:t>7</w:t>
      </w:r>
      <w:r>
        <w:rPr>
          <w:rFonts w:hint="eastAsia" w:ascii="黑体" w:hAnsi="黑体" w:eastAsia="黑体" w:cs="黑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>覆膜前</w:t>
      </w:r>
      <w:r>
        <w:rPr>
          <w:rFonts w:hint="eastAsia" w:ascii="宋体" w:hAnsi="宋体" w:eastAsia="宋体" w:cs="宋体"/>
          <w:highlight w:val="none"/>
        </w:rPr>
        <w:t>纸质印刷品</w:t>
      </w:r>
      <w:r>
        <w:rPr>
          <w:rFonts w:hint="eastAsia" w:ascii="宋体" w:hAnsi="宋体" w:eastAsia="宋体" w:cs="宋体"/>
          <w:highlight w:val="none"/>
          <w:lang w:val="en-US" w:eastAsia="zh-CN"/>
        </w:rPr>
        <w:t>上油墨层的润湿张力</w:t>
      </w:r>
      <w:r>
        <w:rPr>
          <w:rFonts w:hint="eastAsia" w:ascii="宋体" w:hAnsi="宋体" w:eastAsia="宋体" w:cs="宋体"/>
          <w:highlight w:val="none"/>
        </w:rPr>
        <w:t>按GB</w:t>
      </w:r>
      <w:r>
        <w:rPr>
          <w:rFonts w:hint="eastAsia" w:ascii="宋体" w:hAnsi="宋体" w:eastAsia="宋体" w:cs="宋体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>27934</w:t>
      </w:r>
      <w:r>
        <w:rPr>
          <w:rFonts w:hint="eastAsia" w:ascii="宋体" w:hAnsi="宋体" w:eastAsia="宋体" w:cs="宋体"/>
          <w:highlight w:val="none"/>
        </w:rPr>
        <w:t>.1</w:t>
      </w:r>
      <w:r>
        <w:rPr>
          <w:rFonts w:hint="eastAsia" w:hAnsi="宋体" w:cs="宋体"/>
          <w:highlight w:val="none"/>
          <w:lang w:val="en-US" w:eastAsia="zh-CN"/>
        </w:rPr>
        <w:t>-</w:t>
      </w:r>
      <w:r>
        <w:rPr>
          <w:rFonts w:hint="eastAsia" w:ascii="宋体" w:hAnsi="宋体" w:eastAsia="宋体" w:cs="宋体"/>
          <w:highlight w:val="none"/>
        </w:rPr>
        <w:t>20</w:t>
      </w:r>
      <w:r>
        <w:rPr>
          <w:rFonts w:hint="eastAsia" w:ascii="宋体" w:hAnsi="宋体" w:eastAsia="宋体" w:cs="宋体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highlight w:val="none"/>
        </w:rPr>
        <w:t>第6.5条款要求检测。</w:t>
      </w:r>
    </w:p>
    <w:p w14:paraId="5F1EC54D">
      <w:pPr>
        <w:pStyle w:val="19"/>
        <w:spacing w:line="300" w:lineRule="auto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5.1.8 </w:t>
      </w:r>
      <w:r>
        <w:rPr>
          <w:rFonts w:hint="eastAsia" w:ascii="宋体" w:hAnsi="宋体" w:eastAsia="宋体" w:cs="宋体"/>
          <w:highlight w:val="none"/>
          <w:lang w:val="en-US" w:eastAsia="zh-CN"/>
        </w:rPr>
        <w:t>纸质印刷品酸碱度（pH值）按GB/T 13528的要求检测。</w:t>
      </w:r>
    </w:p>
    <w:p w14:paraId="147F8C89">
      <w:pPr>
        <w:pStyle w:val="19"/>
        <w:spacing w:line="300" w:lineRule="auto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5.1.9 </w:t>
      </w:r>
      <w:r>
        <w:rPr>
          <w:rFonts w:hint="eastAsia" w:ascii="宋体" w:hAnsi="宋体" w:eastAsia="宋体" w:cs="宋体"/>
          <w:highlight w:val="none"/>
          <w:lang w:val="en-US" w:eastAsia="zh-CN"/>
        </w:rPr>
        <w:t>纸质印刷品表面墨层附着力测试方法，使用粘力为10 N/25mm的胶黏带指压贴合(50±2)mm，来回指压5次，静置60 s，以90°角快速拉起，墨层不应发生脱落。</w:t>
      </w:r>
    </w:p>
    <w:p w14:paraId="268DCED8">
      <w:pPr>
        <w:pStyle w:val="19"/>
        <w:spacing w:line="300" w:lineRule="auto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 xml:space="preserve">5.1.10 </w:t>
      </w:r>
      <w:r>
        <w:rPr>
          <w:rFonts w:hint="eastAsia" w:ascii="宋体" w:hAnsi="宋体" w:eastAsia="宋体" w:cs="宋体"/>
          <w:highlight w:val="none"/>
          <w:lang w:val="en-US" w:eastAsia="zh-CN"/>
        </w:rPr>
        <w:t>纸质印刷品含水率按GB/T 462的要求检测。</w:t>
      </w:r>
    </w:p>
    <w:p w14:paraId="51A5320B">
      <w:pPr>
        <w:pStyle w:val="53"/>
        <w:keepNext w:val="0"/>
        <w:keepLines w:val="0"/>
        <w:pageBreakBefore w:val="0"/>
        <w:widowControl/>
        <w:tabs>
          <w:tab w:val="left" w:pos="60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.2 环境温湿度检测</w:t>
      </w:r>
    </w:p>
    <w:p w14:paraId="08F4AF9C">
      <w:pPr>
        <w:pStyle w:val="53"/>
        <w:keepNext w:val="0"/>
        <w:keepLines w:val="0"/>
        <w:pageBreakBefore w:val="0"/>
        <w:widowControl/>
        <w:tabs>
          <w:tab w:val="left" w:pos="60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</w:rPr>
        <w:t>使用检定的温湿度计检测。</w:t>
      </w:r>
    </w:p>
    <w:p w14:paraId="004CDB93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.3 覆膜工艺温度检测</w:t>
      </w:r>
    </w:p>
    <w:p w14:paraId="1447C50B">
      <w:pPr>
        <w:pStyle w:val="53"/>
        <w:keepNext w:val="0"/>
        <w:keepLines w:val="0"/>
        <w:pageBreakBefore w:val="0"/>
        <w:widowControl/>
        <w:tabs>
          <w:tab w:val="left" w:pos="60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使用</w:t>
      </w:r>
      <w:r>
        <w:rPr>
          <w:rFonts w:hint="eastAsia" w:ascii="宋体" w:hAnsi="宋体" w:eastAsia="宋体" w:cs="宋体"/>
        </w:rPr>
        <w:t>检定的</w:t>
      </w:r>
      <w:r>
        <w:rPr>
          <w:rFonts w:hint="eastAsia" w:ascii="宋体" w:hAnsi="宋体" w:eastAsia="宋体" w:cs="宋体"/>
          <w:color w:val="000000"/>
        </w:rPr>
        <w:t>温度测试仪检测烘干装置和热压辊的温度，使其与设备上控制器显示温度差异恒定。</w:t>
      </w:r>
    </w:p>
    <w:p w14:paraId="510D195F">
      <w:pPr>
        <w:pStyle w:val="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.4 覆膜压强检测</w:t>
      </w:r>
    </w:p>
    <w:p w14:paraId="41806B1E">
      <w:pPr>
        <w:pStyle w:val="53"/>
        <w:keepNext w:val="0"/>
        <w:keepLines w:val="0"/>
        <w:pageBreakBefore w:val="0"/>
        <w:widowControl/>
        <w:tabs>
          <w:tab w:val="left" w:pos="60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按照</w:t>
      </w:r>
      <w:r>
        <w:rPr>
          <w:rFonts w:hint="eastAsia" w:ascii="宋体" w:hAnsi="宋体" w:eastAsia="宋体" w:cs="宋体"/>
        </w:rPr>
        <w:t xml:space="preserve">GB/T </w:t>
      </w:r>
      <w:r>
        <w:rPr>
          <w:rFonts w:hint="eastAsia" w:ascii="宋体" w:hAnsi="宋体" w:eastAsia="宋体" w:cs="宋体"/>
          <w:lang w:val="en-US" w:eastAsia="zh-CN"/>
        </w:rPr>
        <w:t>27934</w:t>
      </w:r>
      <w:r>
        <w:rPr>
          <w:rFonts w:hint="eastAsia" w:ascii="宋体" w:hAnsi="宋体" w:eastAsia="宋体" w:cs="宋体"/>
        </w:rPr>
        <w:t>.2</w:t>
      </w:r>
      <w:r>
        <w:rPr>
          <w:rFonts w:hint="eastAsia" w:hAnsi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20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第10.4条款的要求检测。</w:t>
      </w:r>
    </w:p>
    <w:p w14:paraId="530E07E6">
      <w:pPr>
        <w:pStyle w:val="53"/>
        <w:keepNext w:val="0"/>
        <w:keepLines w:val="0"/>
        <w:pageBreakBefore w:val="0"/>
        <w:widowControl/>
        <w:tabs>
          <w:tab w:val="left" w:pos="60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 xml:space="preserve">.5 </w:t>
      </w:r>
      <w:r>
        <w:rPr>
          <w:rFonts w:hint="eastAsia" w:ascii="黑体" w:hAnsi="黑体" w:eastAsia="黑体" w:cs="黑体"/>
          <w:lang w:eastAsia="zh-TW"/>
        </w:rPr>
        <w:t>覆膜速度检测</w:t>
      </w:r>
    </w:p>
    <w:p w14:paraId="6A63DE3E">
      <w:pPr>
        <w:pStyle w:val="53"/>
        <w:tabs>
          <w:tab w:val="left" w:pos="6089"/>
        </w:tabs>
        <w:spacing w:line="300" w:lineRule="auto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采用单位时间覆膜的张数乘以每张输送长度的方法计算速度。</w:t>
      </w:r>
    </w:p>
    <w:p w14:paraId="18F6BB10">
      <w:pPr>
        <w:pStyle w:val="53"/>
        <w:keepNext w:val="0"/>
        <w:keepLines w:val="0"/>
        <w:pageBreakBefore w:val="0"/>
        <w:widowControl/>
        <w:tabs>
          <w:tab w:val="left" w:pos="60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.6 热压辊表面温度允差检测</w:t>
      </w:r>
    </w:p>
    <w:p w14:paraId="671192D8">
      <w:pPr>
        <w:pStyle w:val="53"/>
        <w:tabs>
          <w:tab w:val="left" w:pos="6089"/>
        </w:tabs>
        <w:spacing w:line="300" w:lineRule="auto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使用检定的温度检测仪沿轴向左、中、右3个位置进行测量。</w:t>
      </w:r>
    </w:p>
    <w:p w14:paraId="1AEF98EE">
      <w:pPr>
        <w:pStyle w:val="53"/>
        <w:keepNext w:val="0"/>
        <w:keepLines w:val="0"/>
        <w:pageBreakBefore w:val="0"/>
        <w:widowControl/>
        <w:tabs>
          <w:tab w:val="left" w:pos="60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240" w:lineRule="auto"/>
        <w:ind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.7 涂胶量检测</w:t>
      </w:r>
    </w:p>
    <w:p w14:paraId="78AE2A0D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1" w:leftChars="88" w:firstLine="210" w:firstLineChars="1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用定量的水基胶黏剂重量除以覆膜的总面积得出涂胶量，单位为g/m</w:t>
      </w:r>
      <w:r>
        <w:rPr>
          <w:rFonts w:hint="eastAsia" w:ascii="宋体" w:hAnsi="宋体" w:eastAsia="宋体" w:cs="宋体"/>
          <w:color w:val="000000"/>
          <w:vertAlign w:val="superscript"/>
        </w:rPr>
        <w:t>2</w:t>
      </w:r>
      <w:r>
        <w:rPr>
          <w:rFonts w:hint="eastAsia" w:ascii="宋体" w:hAnsi="宋体" w:eastAsia="宋体" w:cs="宋体"/>
          <w:color w:val="000000"/>
        </w:rPr>
        <w:t>。</w:t>
      </w:r>
    </w:p>
    <w:p w14:paraId="3B449202">
      <w:pPr>
        <w:pStyle w:val="19"/>
        <w:spacing w:line="300" w:lineRule="auto"/>
        <w:ind w:left="211" w:leftChars="88" w:firstLine="210" w:firstLineChars="100"/>
        <w:rPr>
          <w:rFonts w:hint="eastAsia"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1997075</wp:posOffset>
                </wp:positionH>
                <wp:positionV relativeFrom="paragraph">
                  <wp:posOffset>80645</wp:posOffset>
                </wp:positionV>
                <wp:extent cx="1628775" cy="0"/>
                <wp:effectExtent l="0" t="9525" r="9525" b="15875"/>
                <wp:wrapNone/>
                <wp:docPr id="14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877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flip:y;margin-left:157.25pt;margin-top:6.35pt;height:0pt;width:128.25pt;z-index:251669504;mso-width-relative:page;mso-height-relative:page;" filled="f" stroked="t" coordsize="21600,21600" o:gfxdata="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cSIRTWAAAACQEAAA8AAAAAAAAAAQAgAAAAIgAAAGRycy9kb3ducmV2LnhtbFBLAQIUABQA&#10;AAAIAIdO4kD4bs6l8gEAAOgDAAAOAAAAAAAAAAEAIAAAACUBAABkcnMvZTJvRG9jLnhtbFBLBQYA&#10;AAAABgAGAFkBAACJ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9212867">
      <w:pPr>
        <w:pStyle w:val="19"/>
        <w:spacing w:line="300" w:lineRule="auto"/>
        <w:rPr>
          <w:rFonts w:hint="eastAsia" w:ascii="黑体" w:hAnsi="黑体" w:eastAsia="黑体" w:cs="黑体"/>
          <w:color w:val="000000"/>
        </w:rPr>
      </w:pPr>
    </w:p>
    <w:p w14:paraId="4E9CA011">
      <w:pPr>
        <w:pStyle w:val="53"/>
        <w:tabs>
          <w:tab w:val="left" w:pos="6089"/>
        </w:tabs>
        <w:spacing w:line="360" w:lineRule="auto"/>
        <w:ind w:firstLine="420"/>
        <w:rPr>
          <w:rFonts w:hint="eastAsia" w:ascii="黑体" w:hAnsi="黑体" w:eastAsia="黑体" w:cs="黑体"/>
          <w:color w:val="FF0000"/>
          <w:lang w:eastAsia="zh-TW"/>
        </w:rPr>
      </w:pPr>
      <w:r>
        <w:rPr>
          <w:rFonts w:hint="eastAsia" w:ascii="黑体" w:hAnsi="黑体" w:eastAsia="黑体" w:cs="黑体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-1265555</wp:posOffset>
                </wp:positionV>
                <wp:extent cx="635" cy="0"/>
                <wp:effectExtent l="0" t="4445" r="0" b="5080"/>
                <wp:wrapNone/>
                <wp:docPr id="13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36.25pt;margin-top:-99.65pt;height:0pt;width:0.05pt;z-index:251668480;mso-width-relative:page;mso-height-relative:page;" filled="f" stroked="t" coordsize="21600,21600" o:gfxdata="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TzSdgA&#10;AAANAQAADwAAAAAAAAABACAAAAAiAAAAZHJzL2Rvd25yZXYueG1sUEsBAhQAFAAAAAgAh07iQEJL&#10;owDmAQAA2QMAAA4AAAAAAAAAAQAgAAAAJ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19" w:type="default"/>
      <w:footerReference r:id="rId20" w:type="even"/>
      <w:pgSz w:w="11907" w:h="16840"/>
      <w:pgMar w:top="936" w:right="1152" w:bottom="1134" w:left="1395" w:header="1418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5E27D">
    <w:pPr>
      <w:pStyle w:val="47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separate"/>
    </w:r>
    <w:r>
      <w:rPr>
        <w:rStyle w:val="33"/>
      </w:rPr>
      <w:t>I</w:t>
    </w:r>
    <w:r>
      <w:rPr>
        <w:rStyle w:val="3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A9586">
    <w:pPr>
      <w:pStyle w:val="46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A4E18">
    <w:pPr>
      <w:pStyle w:val="23"/>
      <w:ind w:right="24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F6B2E">
    <w:pPr>
      <w:pStyle w:val="47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separate"/>
    </w:r>
    <w:r>
      <w:rPr>
        <w:rStyle w:val="33"/>
      </w:rPr>
      <w:t>I</w:t>
    </w:r>
    <w:r>
      <w:rPr>
        <w:rStyle w:val="33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3ED8B">
    <w:pPr>
      <w:pStyle w:val="46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separate"/>
    </w:r>
    <w:r>
      <w:rPr>
        <w:rStyle w:val="33"/>
      </w:rPr>
      <w:t>II</w:t>
    </w:r>
    <w:r>
      <w:rPr>
        <w:rStyle w:val="33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D301D">
    <w:pPr>
      <w:pStyle w:val="47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separate"/>
    </w:r>
    <w:r>
      <w:rPr>
        <w:rStyle w:val="33"/>
      </w:rPr>
      <w:t>I</w:t>
    </w:r>
    <w:r>
      <w:rPr>
        <w:rStyle w:val="33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65645">
    <w:pPr>
      <w:pStyle w:val="46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separate"/>
    </w:r>
    <w:r>
      <w:rPr>
        <w:rStyle w:val="33"/>
      </w:rPr>
      <w:t>II</w:t>
    </w:r>
    <w:r>
      <w:rPr>
        <w:rStyle w:val="33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0CE07">
    <w:pPr>
      <w:pStyle w:val="23"/>
      <w:framePr w:wrap="around" w:vAnchor="text" w:hAnchor="margin" w:xAlign="outside" w:y="1"/>
      <w:ind w:right="240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separate"/>
    </w:r>
    <w:r>
      <w:rPr>
        <w:rStyle w:val="33"/>
      </w:rPr>
      <w:t>1</w:t>
    </w:r>
    <w:r>
      <w:rPr>
        <w:rStyle w:val="33"/>
      </w:rPr>
      <w:fldChar w:fldCharType="end"/>
    </w:r>
  </w:p>
  <w:p w14:paraId="493F75A2">
    <w:pPr>
      <w:pStyle w:val="47"/>
      <w:ind w:right="360" w:firstLine="360"/>
      <w:rPr>
        <w:rStyle w:val="33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1DC1D">
    <w:pPr>
      <w:pStyle w:val="23"/>
      <w:framePr w:wrap="around" w:vAnchor="text" w:hAnchor="margin" w:xAlign="outside" w:y="1"/>
      <w:ind w:right="240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separate"/>
    </w:r>
    <w:r>
      <w:rPr>
        <w:rStyle w:val="33"/>
      </w:rPr>
      <w:t>2</w:t>
    </w:r>
    <w:r>
      <w:rPr>
        <w:rStyle w:val="33"/>
      </w:rPr>
      <w:fldChar w:fldCharType="end"/>
    </w:r>
  </w:p>
  <w:p w14:paraId="5489F805">
    <w:pPr>
      <w:pStyle w:val="46"/>
      <w:ind w:right="360" w:firstLine="360"/>
      <w:rPr>
        <w:rStyle w:val="3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9A1E6">
    <w:pPr>
      <w:pStyle w:val="48"/>
    </w:pPr>
    <w:r>
      <w:t>GB/T 7707—2004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4E293">
    <w:pPr>
      <w:pStyle w:val="49"/>
    </w:pPr>
    <w:r>
      <w:t>GB/T 7707—2004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0BE21">
    <w:pPr>
      <w:pStyle w:val="5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C772A">
    <w:pPr>
      <w:pStyle w:val="48"/>
      <w:ind w:right="420"/>
      <w:rPr>
        <w:rFonts w:hint="default" w:ascii="宋体" w:hAnsi="宋体" w:eastAsia="宋体"/>
        <w:lang w:val="en-US" w:eastAsia="zh-CN"/>
      </w:rPr>
    </w:pPr>
    <w:r>
      <w:rPr>
        <w:rFonts w:ascii="宋体" w:hAnsi="宋体"/>
      </w:rPr>
      <w:t>GB</w:t>
    </w:r>
    <w:r>
      <w:rPr>
        <w:rFonts w:hint="eastAsia" w:ascii="宋体" w:hAnsi="宋体"/>
      </w:rPr>
      <w:t>/T</w:t>
    </w:r>
    <w:r>
      <w:rPr>
        <w:rFonts w:ascii="宋体" w:hAnsi="宋体"/>
      </w:rPr>
      <w:t xml:space="preserve"> </w:t>
    </w:r>
    <w:r>
      <w:rPr>
        <w:rFonts w:hint="eastAsia" w:ascii="宋体" w:hAnsi="宋体"/>
        <w:lang w:val="en-US" w:eastAsia="zh-CN"/>
      </w:rPr>
      <w:t>27934</w:t>
    </w:r>
    <w:r>
      <w:rPr>
        <w:rFonts w:hint="eastAsia" w:ascii="宋体" w:hAnsi="宋体"/>
      </w:rPr>
      <w:t>.3</w:t>
    </w:r>
    <w:r>
      <w:rPr>
        <w:rFonts w:hint="eastAsia" w:ascii="宋体" w:hAnsi="宋体"/>
        <w:lang w:val="en-US" w:eastAsia="zh-CN"/>
      </w:rPr>
      <w:t>-</w:t>
    </w:r>
    <w:r>
      <w:rPr>
        <w:rFonts w:hint="eastAsia" w:ascii="宋体" w:hAnsi="宋体"/>
      </w:rPr>
      <w:t>20</w:t>
    </w:r>
    <w:r>
      <w:rPr>
        <w:rFonts w:hint="eastAsia" w:ascii="宋体" w:hAnsi="宋体"/>
        <w:lang w:val="en-US" w:eastAsia="zh-CN"/>
      </w:rPr>
      <w:t>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0B432">
    <w:pPr>
      <w:pStyle w:val="49"/>
      <w:rPr>
        <w:rFonts w:hint="default" w:ascii="宋体" w:hAnsi="宋体" w:eastAsia="宋体"/>
        <w:lang w:val="en-US" w:eastAsia="zh-CN"/>
      </w:rPr>
    </w:pPr>
    <w:r>
      <w:rPr>
        <w:rFonts w:ascii="宋体" w:hAnsi="宋体"/>
      </w:rPr>
      <w:t>GB</w:t>
    </w:r>
    <w:r>
      <w:rPr>
        <w:rFonts w:hint="eastAsia" w:ascii="宋体" w:hAnsi="宋体"/>
      </w:rPr>
      <w:t>/T</w:t>
    </w:r>
    <w:r>
      <w:rPr>
        <w:rFonts w:ascii="宋体" w:hAnsi="宋体"/>
      </w:rPr>
      <w:t xml:space="preserve"> </w:t>
    </w:r>
    <w:r>
      <w:rPr>
        <w:rFonts w:hint="eastAsia" w:ascii="宋体" w:hAnsi="宋体"/>
        <w:lang w:val="en-US" w:eastAsia="zh-CN"/>
      </w:rPr>
      <w:t>27934</w:t>
    </w:r>
    <w:r>
      <w:rPr>
        <w:rFonts w:hint="eastAsia" w:ascii="宋体" w:hAnsi="宋体"/>
      </w:rPr>
      <w:t>.3</w:t>
    </w:r>
    <w:r>
      <w:rPr>
        <w:rFonts w:hint="eastAsia" w:ascii="宋体" w:hAnsi="宋体"/>
        <w:lang w:val="en-US" w:eastAsia="zh-CN"/>
      </w:rPr>
      <w:t>-</w:t>
    </w:r>
    <w:r>
      <w:rPr>
        <w:rFonts w:hint="eastAsia" w:ascii="宋体" w:hAnsi="宋体"/>
      </w:rPr>
      <w:t>20</w:t>
    </w:r>
    <w:r>
      <w:rPr>
        <w:rFonts w:hint="eastAsia" w:ascii="宋体" w:hAnsi="宋体"/>
        <w:lang w:val="en-US" w:eastAsia="zh-CN"/>
      </w:rPr>
      <w:t>XX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70FEC">
    <w:pPr>
      <w:pStyle w:val="48"/>
      <w:ind w:right="420"/>
      <w:rPr>
        <w:rFonts w:hint="default" w:ascii="宋体" w:hAnsi="宋体" w:eastAsia="宋体"/>
        <w:lang w:val="en-US" w:eastAsia="zh-CN"/>
      </w:rPr>
    </w:pPr>
    <w:r>
      <w:rPr>
        <w:rFonts w:ascii="宋体" w:hAnsi="宋体"/>
      </w:rPr>
      <w:t>GB</w:t>
    </w:r>
    <w:r>
      <w:rPr>
        <w:rFonts w:hint="eastAsia" w:ascii="宋体" w:hAnsi="宋体"/>
      </w:rPr>
      <w:t>/T</w:t>
    </w:r>
    <w:r>
      <w:rPr>
        <w:rFonts w:ascii="宋体" w:hAnsi="宋体"/>
      </w:rPr>
      <w:t xml:space="preserve"> </w:t>
    </w:r>
    <w:r>
      <w:rPr>
        <w:rFonts w:hint="eastAsia" w:ascii="宋体" w:hAnsi="宋体"/>
        <w:lang w:val="en-US" w:eastAsia="zh-CN"/>
      </w:rPr>
      <w:t>27934</w:t>
    </w:r>
    <w:r>
      <w:rPr>
        <w:rFonts w:hint="eastAsia" w:ascii="宋体" w:hAnsi="宋体"/>
      </w:rPr>
      <w:t>.3</w:t>
    </w:r>
    <w:r>
      <w:rPr>
        <w:rFonts w:hint="eastAsia" w:ascii="宋体" w:hAnsi="宋体"/>
        <w:lang w:val="en-US" w:eastAsia="zh-CN"/>
      </w:rPr>
      <w:t>-</w:t>
    </w:r>
    <w:r>
      <w:rPr>
        <w:rFonts w:hint="eastAsia" w:ascii="宋体" w:hAnsi="宋体"/>
      </w:rPr>
      <w:t>20</w:t>
    </w:r>
    <w:r>
      <w:rPr>
        <w:rFonts w:hint="eastAsia" w:ascii="宋体" w:hAnsi="宋体"/>
        <w:lang w:val="en-US" w:eastAsia="zh-CN"/>
      </w:rPr>
      <w:t>XX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6AD51">
    <w:pPr>
      <w:pStyle w:val="49"/>
      <w:rPr>
        <w:rFonts w:hint="default" w:ascii="宋体" w:hAnsi="宋体" w:eastAsia="宋体"/>
        <w:lang w:val="en-US" w:eastAsia="zh-CN"/>
      </w:rPr>
    </w:pPr>
    <w:r>
      <w:rPr>
        <w:rFonts w:ascii="宋体" w:hAnsi="宋体"/>
      </w:rPr>
      <w:t>GB</w:t>
    </w:r>
    <w:r>
      <w:rPr>
        <w:rFonts w:hint="eastAsia" w:ascii="宋体" w:hAnsi="宋体"/>
      </w:rPr>
      <w:t>/T</w:t>
    </w:r>
    <w:r>
      <w:rPr>
        <w:rFonts w:ascii="宋体" w:hAnsi="宋体"/>
      </w:rPr>
      <w:t xml:space="preserve"> </w:t>
    </w:r>
    <w:r>
      <w:rPr>
        <w:rFonts w:hint="eastAsia" w:ascii="宋体" w:hAnsi="宋体"/>
        <w:lang w:val="en-US" w:eastAsia="zh-CN"/>
      </w:rPr>
      <w:t>27934</w:t>
    </w:r>
    <w:r>
      <w:rPr>
        <w:rFonts w:hint="eastAsia" w:ascii="宋体" w:hAnsi="宋体"/>
      </w:rPr>
      <w:t>.3</w:t>
    </w:r>
    <w:r>
      <w:rPr>
        <w:rFonts w:hint="eastAsia" w:ascii="宋体" w:hAnsi="宋体"/>
        <w:lang w:val="en-US" w:eastAsia="zh-CN"/>
      </w:rPr>
      <w:t>-</w:t>
    </w:r>
    <w:r>
      <w:rPr>
        <w:rFonts w:hint="eastAsia" w:ascii="宋体" w:hAnsi="宋体"/>
      </w:rPr>
      <w:t>20</w:t>
    </w:r>
    <w:r>
      <w:rPr>
        <w:rFonts w:hint="eastAsia" w:ascii="宋体" w:hAnsi="宋体"/>
        <w:lang w:val="en-US" w:eastAsia="zh-CN"/>
      </w:rPr>
      <w:t>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EC01BF"/>
    <w:multiLevelType w:val="singleLevel"/>
    <w:tmpl w:val="D8EC01BF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0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7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88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9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>
    <w:nsid w:val="0AAD3CE1"/>
    <w:multiLevelType w:val="multilevel"/>
    <w:tmpl w:val="0AAD3CE1"/>
    <w:lvl w:ilvl="0" w:tentative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</w:lvl>
  </w:abstractNum>
  <w:abstractNum w:abstractNumId="3">
    <w:nsid w:val="0AE367E9"/>
    <w:multiLevelType w:val="multilevel"/>
    <w:tmpl w:val="0AE367E9"/>
    <w:lvl w:ilvl="0" w:tentative="0">
      <w:start w:val="1"/>
      <w:numFmt w:val="none"/>
      <w:pStyle w:val="90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07E65F9"/>
    <w:multiLevelType w:val="multilevel"/>
    <w:tmpl w:val="407E65F9"/>
    <w:lvl w:ilvl="0" w:tentative="0">
      <w:start w:val="1"/>
      <w:numFmt w:val="none"/>
      <w:pStyle w:val="82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46E3302B"/>
    <w:multiLevelType w:val="multilevel"/>
    <w:tmpl w:val="46E3302B"/>
    <w:lvl w:ilvl="0" w:tentative="0">
      <w:start w:val="5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</w:lvl>
  </w:abstractNum>
  <w:abstractNum w:abstractNumId="6">
    <w:nsid w:val="496E4D7B"/>
    <w:multiLevelType w:val="multilevel"/>
    <w:tmpl w:val="496E4D7B"/>
    <w:lvl w:ilvl="0" w:tentative="0">
      <w:start w:val="1"/>
      <w:numFmt w:val="none"/>
      <w:pStyle w:val="10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557C2AF5"/>
    <w:multiLevelType w:val="multilevel"/>
    <w:tmpl w:val="557C2AF5"/>
    <w:lvl w:ilvl="0" w:tentative="0">
      <w:start w:val="1"/>
      <w:numFmt w:val="decimal"/>
      <w:pStyle w:val="10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5F4C3D64"/>
    <w:multiLevelType w:val="multilevel"/>
    <w:tmpl w:val="5F4C3D64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646260FA"/>
    <w:multiLevelType w:val="multilevel"/>
    <w:tmpl w:val="646260FA"/>
    <w:lvl w:ilvl="0" w:tentative="0">
      <w:start w:val="1"/>
      <w:numFmt w:val="decimal"/>
      <w:pStyle w:val="10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57D3FBC"/>
    <w:multiLevelType w:val="multilevel"/>
    <w:tmpl w:val="657D3FBC"/>
    <w:lvl w:ilvl="0" w:tentative="0">
      <w:start w:val="1"/>
      <w:numFmt w:val="upperLetter"/>
      <w:pStyle w:val="70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72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7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7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7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7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78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>
    <w:nsid w:val="6CEA2025"/>
    <w:multiLevelType w:val="multilevel"/>
    <w:tmpl w:val="6CEA2025"/>
    <w:lvl w:ilvl="0" w:tentative="0">
      <w:start w:val="1"/>
      <w:numFmt w:val="none"/>
      <w:pStyle w:val="5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54"/>
      <w:suff w:val="nothing"/>
      <w:lvlText w:val="%2"/>
      <w:lvlJc w:val="left"/>
      <w:pPr>
        <w:ind w:left="1995" w:firstLine="0"/>
      </w:pPr>
      <w:rPr>
        <w:rFonts w:ascii="Times New Roman" w:hAnsi="Times New Roman" w:eastAsia="Times New Roman" w:cs="Times New Roman"/>
        <w:b w:val="0"/>
        <w:i w:val="0"/>
        <w:sz w:val="21"/>
      </w:rPr>
    </w:lvl>
    <w:lvl w:ilvl="2" w:tentative="0">
      <w:start w:val="1"/>
      <w:numFmt w:val="decimal"/>
      <w:pStyle w:val="5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6"/>
      <w:suff w:val="nothing"/>
      <w:lvlText w:val="%1%2.%3.%4　"/>
      <w:lvlJc w:val="left"/>
      <w:pPr>
        <w:ind w:left="2835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87"/>
      <w:suff w:val="nothing"/>
      <w:lvlText w:val="%1%2.%3.%4.%5　"/>
      <w:lvlJc w:val="left"/>
      <w:pPr>
        <w:ind w:left="1365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2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8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DBF04F4"/>
    <w:multiLevelType w:val="multilevel"/>
    <w:tmpl w:val="6DBF04F4"/>
    <w:lvl w:ilvl="0" w:tentative="0">
      <w:start w:val="1"/>
      <w:numFmt w:val="none"/>
      <w:pStyle w:val="10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6933334"/>
    <w:multiLevelType w:val="multilevel"/>
    <w:tmpl w:val="76933334"/>
    <w:lvl w:ilvl="0" w:tentative="0">
      <w:start w:val="1"/>
      <w:numFmt w:val="none"/>
      <w:pStyle w:val="81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12"/>
  </w:num>
  <w:num w:numId="10">
    <w:abstractNumId w:val="6"/>
  </w:num>
  <w:num w:numId="11">
    <w:abstractNumId w:val="0"/>
  </w:num>
  <w:num w:numId="12">
    <w:abstractNumId w:va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46"/>
    <w:rsid w:val="0000309F"/>
    <w:rsid w:val="00005007"/>
    <w:rsid w:val="000058E9"/>
    <w:rsid w:val="00007AFB"/>
    <w:rsid w:val="000112DA"/>
    <w:rsid w:val="00013B94"/>
    <w:rsid w:val="0001525C"/>
    <w:rsid w:val="000225B7"/>
    <w:rsid w:val="000265C6"/>
    <w:rsid w:val="00033567"/>
    <w:rsid w:val="00044442"/>
    <w:rsid w:val="00044E8E"/>
    <w:rsid w:val="000516F0"/>
    <w:rsid w:val="00053224"/>
    <w:rsid w:val="00062923"/>
    <w:rsid w:val="00063E8A"/>
    <w:rsid w:val="00074902"/>
    <w:rsid w:val="00074DD9"/>
    <w:rsid w:val="00075674"/>
    <w:rsid w:val="00075E43"/>
    <w:rsid w:val="00076113"/>
    <w:rsid w:val="00077540"/>
    <w:rsid w:val="000859E4"/>
    <w:rsid w:val="000931D5"/>
    <w:rsid w:val="00097C83"/>
    <w:rsid w:val="000A0ED2"/>
    <w:rsid w:val="000A42CB"/>
    <w:rsid w:val="000A440A"/>
    <w:rsid w:val="000A6AF9"/>
    <w:rsid w:val="000B51B5"/>
    <w:rsid w:val="000C2734"/>
    <w:rsid w:val="000C4F6B"/>
    <w:rsid w:val="000C5F1C"/>
    <w:rsid w:val="000D2A91"/>
    <w:rsid w:val="000D3855"/>
    <w:rsid w:val="000D3C93"/>
    <w:rsid w:val="000E1745"/>
    <w:rsid w:val="000E7540"/>
    <w:rsid w:val="000F2C1B"/>
    <w:rsid w:val="000F41EA"/>
    <w:rsid w:val="001015E5"/>
    <w:rsid w:val="00110358"/>
    <w:rsid w:val="001117A2"/>
    <w:rsid w:val="00114FD1"/>
    <w:rsid w:val="001169AB"/>
    <w:rsid w:val="00117FFE"/>
    <w:rsid w:val="0012017B"/>
    <w:rsid w:val="00122741"/>
    <w:rsid w:val="00122780"/>
    <w:rsid w:val="001413D5"/>
    <w:rsid w:val="00144129"/>
    <w:rsid w:val="00144641"/>
    <w:rsid w:val="00154FF2"/>
    <w:rsid w:val="00157EFA"/>
    <w:rsid w:val="00160E5F"/>
    <w:rsid w:val="00165977"/>
    <w:rsid w:val="001662A1"/>
    <w:rsid w:val="00166749"/>
    <w:rsid w:val="00167AA5"/>
    <w:rsid w:val="00167E93"/>
    <w:rsid w:val="00173DB2"/>
    <w:rsid w:val="00187999"/>
    <w:rsid w:val="00193C41"/>
    <w:rsid w:val="00195927"/>
    <w:rsid w:val="001A169B"/>
    <w:rsid w:val="001A594E"/>
    <w:rsid w:val="001A6A9D"/>
    <w:rsid w:val="001A6B2C"/>
    <w:rsid w:val="001B067F"/>
    <w:rsid w:val="001B1065"/>
    <w:rsid w:val="001B22C8"/>
    <w:rsid w:val="001B57BF"/>
    <w:rsid w:val="001B6C14"/>
    <w:rsid w:val="001C6C90"/>
    <w:rsid w:val="001C75FD"/>
    <w:rsid w:val="001C7D0D"/>
    <w:rsid w:val="001D0C1B"/>
    <w:rsid w:val="001D4B26"/>
    <w:rsid w:val="001D53BB"/>
    <w:rsid w:val="001D6BA0"/>
    <w:rsid w:val="001E000B"/>
    <w:rsid w:val="001F5B6F"/>
    <w:rsid w:val="001F6B08"/>
    <w:rsid w:val="00202989"/>
    <w:rsid w:val="002030B6"/>
    <w:rsid w:val="00203851"/>
    <w:rsid w:val="00205DE6"/>
    <w:rsid w:val="00206614"/>
    <w:rsid w:val="002077AF"/>
    <w:rsid w:val="002147C8"/>
    <w:rsid w:val="0021724E"/>
    <w:rsid w:val="00217F31"/>
    <w:rsid w:val="00220A0C"/>
    <w:rsid w:val="00221308"/>
    <w:rsid w:val="00222617"/>
    <w:rsid w:val="00222DFB"/>
    <w:rsid w:val="00224BEB"/>
    <w:rsid w:val="00226DC1"/>
    <w:rsid w:val="002424F6"/>
    <w:rsid w:val="00251EE5"/>
    <w:rsid w:val="002525C4"/>
    <w:rsid w:val="002537FF"/>
    <w:rsid w:val="00253E5F"/>
    <w:rsid w:val="00256F8D"/>
    <w:rsid w:val="0027091B"/>
    <w:rsid w:val="00271890"/>
    <w:rsid w:val="002731AD"/>
    <w:rsid w:val="00275163"/>
    <w:rsid w:val="002774B6"/>
    <w:rsid w:val="00281E0E"/>
    <w:rsid w:val="002832AB"/>
    <w:rsid w:val="00285370"/>
    <w:rsid w:val="002915DC"/>
    <w:rsid w:val="002933FB"/>
    <w:rsid w:val="002934C7"/>
    <w:rsid w:val="00294179"/>
    <w:rsid w:val="002A1FD7"/>
    <w:rsid w:val="002A63A1"/>
    <w:rsid w:val="002A6E55"/>
    <w:rsid w:val="002C2D5A"/>
    <w:rsid w:val="002C3B18"/>
    <w:rsid w:val="002D13FA"/>
    <w:rsid w:val="002D2BD5"/>
    <w:rsid w:val="002D52C6"/>
    <w:rsid w:val="002D7863"/>
    <w:rsid w:val="002E3745"/>
    <w:rsid w:val="002E5CF9"/>
    <w:rsid w:val="002E5F48"/>
    <w:rsid w:val="002E6283"/>
    <w:rsid w:val="002F0E12"/>
    <w:rsid w:val="002F1633"/>
    <w:rsid w:val="002F28AC"/>
    <w:rsid w:val="0031016A"/>
    <w:rsid w:val="0031230F"/>
    <w:rsid w:val="0031264E"/>
    <w:rsid w:val="00312C31"/>
    <w:rsid w:val="00312F57"/>
    <w:rsid w:val="0031355D"/>
    <w:rsid w:val="003166CC"/>
    <w:rsid w:val="00322A5F"/>
    <w:rsid w:val="00325590"/>
    <w:rsid w:val="003258AB"/>
    <w:rsid w:val="00330A7E"/>
    <w:rsid w:val="00331658"/>
    <w:rsid w:val="003342D8"/>
    <w:rsid w:val="00342212"/>
    <w:rsid w:val="00344DF6"/>
    <w:rsid w:val="00351DB2"/>
    <w:rsid w:val="0035374A"/>
    <w:rsid w:val="003572A3"/>
    <w:rsid w:val="00361E6A"/>
    <w:rsid w:val="00361F01"/>
    <w:rsid w:val="003634AC"/>
    <w:rsid w:val="00363CB7"/>
    <w:rsid w:val="00364C1F"/>
    <w:rsid w:val="003800C1"/>
    <w:rsid w:val="0038286A"/>
    <w:rsid w:val="0038585C"/>
    <w:rsid w:val="00392B7F"/>
    <w:rsid w:val="00393955"/>
    <w:rsid w:val="00395D9C"/>
    <w:rsid w:val="003A05BE"/>
    <w:rsid w:val="003A0B6C"/>
    <w:rsid w:val="003A4BF9"/>
    <w:rsid w:val="003B4424"/>
    <w:rsid w:val="003B4C15"/>
    <w:rsid w:val="003B5497"/>
    <w:rsid w:val="003B5A3E"/>
    <w:rsid w:val="003C4655"/>
    <w:rsid w:val="003C5285"/>
    <w:rsid w:val="003C7692"/>
    <w:rsid w:val="003D114C"/>
    <w:rsid w:val="003D38F1"/>
    <w:rsid w:val="003E40D3"/>
    <w:rsid w:val="003F6C12"/>
    <w:rsid w:val="003F7EA3"/>
    <w:rsid w:val="0040695A"/>
    <w:rsid w:val="004128C5"/>
    <w:rsid w:val="00415F94"/>
    <w:rsid w:val="00421394"/>
    <w:rsid w:val="00421CC4"/>
    <w:rsid w:val="004258FE"/>
    <w:rsid w:val="0043555C"/>
    <w:rsid w:val="00452E49"/>
    <w:rsid w:val="00453BD3"/>
    <w:rsid w:val="00455E4E"/>
    <w:rsid w:val="0045609E"/>
    <w:rsid w:val="00457054"/>
    <w:rsid w:val="004632BE"/>
    <w:rsid w:val="004637B9"/>
    <w:rsid w:val="0046395D"/>
    <w:rsid w:val="0046455D"/>
    <w:rsid w:val="0047109C"/>
    <w:rsid w:val="0047264D"/>
    <w:rsid w:val="00473A0B"/>
    <w:rsid w:val="004749AA"/>
    <w:rsid w:val="00475BA8"/>
    <w:rsid w:val="00476178"/>
    <w:rsid w:val="00477D7E"/>
    <w:rsid w:val="00484D62"/>
    <w:rsid w:val="00487C61"/>
    <w:rsid w:val="00492356"/>
    <w:rsid w:val="00495E88"/>
    <w:rsid w:val="00497DD5"/>
    <w:rsid w:val="004A06BF"/>
    <w:rsid w:val="004A2B34"/>
    <w:rsid w:val="004A4566"/>
    <w:rsid w:val="004A5100"/>
    <w:rsid w:val="004B70E8"/>
    <w:rsid w:val="004C35D7"/>
    <w:rsid w:val="004C367C"/>
    <w:rsid w:val="004C393C"/>
    <w:rsid w:val="004C3F73"/>
    <w:rsid w:val="004C5A6F"/>
    <w:rsid w:val="004C77B4"/>
    <w:rsid w:val="004D013C"/>
    <w:rsid w:val="004D1F86"/>
    <w:rsid w:val="004D3C88"/>
    <w:rsid w:val="004D7057"/>
    <w:rsid w:val="004E201A"/>
    <w:rsid w:val="004E3C47"/>
    <w:rsid w:val="004E4AA4"/>
    <w:rsid w:val="004F6F84"/>
    <w:rsid w:val="0050063D"/>
    <w:rsid w:val="00500891"/>
    <w:rsid w:val="005010DA"/>
    <w:rsid w:val="0050154A"/>
    <w:rsid w:val="00513429"/>
    <w:rsid w:val="00515CEB"/>
    <w:rsid w:val="00516C3C"/>
    <w:rsid w:val="00524A31"/>
    <w:rsid w:val="00531938"/>
    <w:rsid w:val="00547616"/>
    <w:rsid w:val="00550CA8"/>
    <w:rsid w:val="0055770C"/>
    <w:rsid w:val="00564518"/>
    <w:rsid w:val="0056779F"/>
    <w:rsid w:val="00571909"/>
    <w:rsid w:val="0057200B"/>
    <w:rsid w:val="00572956"/>
    <w:rsid w:val="00573485"/>
    <w:rsid w:val="005818CF"/>
    <w:rsid w:val="00583DC7"/>
    <w:rsid w:val="0059245A"/>
    <w:rsid w:val="00594A3C"/>
    <w:rsid w:val="00596BC3"/>
    <w:rsid w:val="005A0D5B"/>
    <w:rsid w:val="005B12C3"/>
    <w:rsid w:val="005B4AC3"/>
    <w:rsid w:val="005B7420"/>
    <w:rsid w:val="005C01CC"/>
    <w:rsid w:val="005C035C"/>
    <w:rsid w:val="005C4A9A"/>
    <w:rsid w:val="005D23F7"/>
    <w:rsid w:val="005D41C9"/>
    <w:rsid w:val="005E3695"/>
    <w:rsid w:val="005E48FC"/>
    <w:rsid w:val="005F3C49"/>
    <w:rsid w:val="005F6D13"/>
    <w:rsid w:val="00604A2A"/>
    <w:rsid w:val="006069AD"/>
    <w:rsid w:val="00611E4A"/>
    <w:rsid w:val="0061200D"/>
    <w:rsid w:val="006133E1"/>
    <w:rsid w:val="00614A34"/>
    <w:rsid w:val="006153E0"/>
    <w:rsid w:val="00617BB9"/>
    <w:rsid w:val="00620349"/>
    <w:rsid w:val="00620B98"/>
    <w:rsid w:val="00620EEF"/>
    <w:rsid w:val="00626AA1"/>
    <w:rsid w:val="00627C7C"/>
    <w:rsid w:val="00631D84"/>
    <w:rsid w:val="00632715"/>
    <w:rsid w:val="00643CCC"/>
    <w:rsid w:val="006461EC"/>
    <w:rsid w:val="00651C16"/>
    <w:rsid w:val="00655200"/>
    <w:rsid w:val="00655B10"/>
    <w:rsid w:val="00655D7A"/>
    <w:rsid w:val="00657855"/>
    <w:rsid w:val="0066617A"/>
    <w:rsid w:val="00674C9C"/>
    <w:rsid w:val="00675642"/>
    <w:rsid w:val="00677E27"/>
    <w:rsid w:val="00684379"/>
    <w:rsid w:val="00686D85"/>
    <w:rsid w:val="006935A5"/>
    <w:rsid w:val="006942A8"/>
    <w:rsid w:val="00696D9A"/>
    <w:rsid w:val="006B04D0"/>
    <w:rsid w:val="006B152E"/>
    <w:rsid w:val="006B3F22"/>
    <w:rsid w:val="006B6D11"/>
    <w:rsid w:val="006C2A02"/>
    <w:rsid w:val="006C3481"/>
    <w:rsid w:val="006C5BAA"/>
    <w:rsid w:val="006C770B"/>
    <w:rsid w:val="006C787D"/>
    <w:rsid w:val="006D08C0"/>
    <w:rsid w:val="006D28C4"/>
    <w:rsid w:val="006E22AE"/>
    <w:rsid w:val="006E2D65"/>
    <w:rsid w:val="006E41E9"/>
    <w:rsid w:val="006E52F2"/>
    <w:rsid w:val="006E5AB4"/>
    <w:rsid w:val="006F132D"/>
    <w:rsid w:val="006F35BC"/>
    <w:rsid w:val="00707174"/>
    <w:rsid w:val="00715DC2"/>
    <w:rsid w:val="00723393"/>
    <w:rsid w:val="00723795"/>
    <w:rsid w:val="00726E36"/>
    <w:rsid w:val="00727CC1"/>
    <w:rsid w:val="00730C56"/>
    <w:rsid w:val="0073725C"/>
    <w:rsid w:val="00742B25"/>
    <w:rsid w:val="00742C62"/>
    <w:rsid w:val="00746EC6"/>
    <w:rsid w:val="00755579"/>
    <w:rsid w:val="007560CD"/>
    <w:rsid w:val="007603E8"/>
    <w:rsid w:val="0076061D"/>
    <w:rsid w:val="007679EF"/>
    <w:rsid w:val="00767DB1"/>
    <w:rsid w:val="007768CC"/>
    <w:rsid w:val="00777538"/>
    <w:rsid w:val="0079334C"/>
    <w:rsid w:val="00793B9A"/>
    <w:rsid w:val="007A1AD1"/>
    <w:rsid w:val="007A3F6B"/>
    <w:rsid w:val="007A45A7"/>
    <w:rsid w:val="007A7A62"/>
    <w:rsid w:val="007B47BE"/>
    <w:rsid w:val="007D07FD"/>
    <w:rsid w:val="007D214F"/>
    <w:rsid w:val="007D3263"/>
    <w:rsid w:val="007D7C90"/>
    <w:rsid w:val="007F0165"/>
    <w:rsid w:val="007F1329"/>
    <w:rsid w:val="007F1D1F"/>
    <w:rsid w:val="007F3B26"/>
    <w:rsid w:val="00805B0A"/>
    <w:rsid w:val="00806290"/>
    <w:rsid w:val="008111BD"/>
    <w:rsid w:val="0081494C"/>
    <w:rsid w:val="0081791E"/>
    <w:rsid w:val="008217AD"/>
    <w:rsid w:val="00822FCB"/>
    <w:rsid w:val="008232B7"/>
    <w:rsid w:val="00826673"/>
    <w:rsid w:val="008374E3"/>
    <w:rsid w:val="00837948"/>
    <w:rsid w:val="00846D00"/>
    <w:rsid w:val="00855419"/>
    <w:rsid w:val="0085752E"/>
    <w:rsid w:val="0086155F"/>
    <w:rsid w:val="00866EFD"/>
    <w:rsid w:val="00885496"/>
    <w:rsid w:val="00885CA4"/>
    <w:rsid w:val="0089007D"/>
    <w:rsid w:val="00890E08"/>
    <w:rsid w:val="00892282"/>
    <w:rsid w:val="00895F21"/>
    <w:rsid w:val="008B3971"/>
    <w:rsid w:val="008B5125"/>
    <w:rsid w:val="008B52FF"/>
    <w:rsid w:val="008B58BD"/>
    <w:rsid w:val="008B67FF"/>
    <w:rsid w:val="008C2F5F"/>
    <w:rsid w:val="008C7751"/>
    <w:rsid w:val="008D099D"/>
    <w:rsid w:val="008E1837"/>
    <w:rsid w:val="008E4280"/>
    <w:rsid w:val="008F1785"/>
    <w:rsid w:val="008F17CC"/>
    <w:rsid w:val="008F36BB"/>
    <w:rsid w:val="008F6A9D"/>
    <w:rsid w:val="00900158"/>
    <w:rsid w:val="00903C18"/>
    <w:rsid w:val="00906C9D"/>
    <w:rsid w:val="009103AA"/>
    <w:rsid w:val="00923092"/>
    <w:rsid w:val="00934C32"/>
    <w:rsid w:val="00935038"/>
    <w:rsid w:val="009379FA"/>
    <w:rsid w:val="0094121C"/>
    <w:rsid w:val="00946F6A"/>
    <w:rsid w:val="00950277"/>
    <w:rsid w:val="009545AA"/>
    <w:rsid w:val="0096364D"/>
    <w:rsid w:val="00970B40"/>
    <w:rsid w:val="00972A81"/>
    <w:rsid w:val="00972DFE"/>
    <w:rsid w:val="00982072"/>
    <w:rsid w:val="00982D4C"/>
    <w:rsid w:val="00984128"/>
    <w:rsid w:val="00984278"/>
    <w:rsid w:val="009852DE"/>
    <w:rsid w:val="0098619E"/>
    <w:rsid w:val="00987C24"/>
    <w:rsid w:val="00991081"/>
    <w:rsid w:val="0099527A"/>
    <w:rsid w:val="009A45DD"/>
    <w:rsid w:val="009A4C58"/>
    <w:rsid w:val="009A61A8"/>
    <w:rsid w:val="009A6831"/>
    <w:rsid w:val="009A6B02"/>
    <w:rsid w:val="009B3835"/>
    <w:rsid w:val="009B5363"/>
    <w:rsid w:val="009B63B0"/>
    <w:rsid w:val="009C498B"/>
    <w:rsid w:val="009C69AB"/>
    <w:rsid w:val="009D5374"/>
    <w:rsid w:val="009D67A2"/>
    <w:rsid w:val="009E1B2F"/>
    <w:rsid w:val="009E3939"/>
    <w:rsid w:val="009F2407"/>
    <w:rsid w:val="009F2C11"/>
    <w:rsid w:val="009F2E2D"/>
    <w:rsid w:val="009F3B17"/>
    <w:rsid w:val="009F578D"/>
    <w:rsid w:val="009F7FB1"/>
    <w:rsid w:val="00A12BE7"/>
    <w:rsid w:val="00A137C8"/>
    <w:rsid w:val="00A1401D"/>
    <w:rsid w:val="00A222AF"/>
    <w:rsid w:val="00A302C2"/>
    <w:rsid w:val="00A30891"/>
    <w:rsid w:val="00A448F0"/>
    <w:rsid w:val="00A474A4"/>
    <w:rsid w:val="00A47861"/>
    <w:rsid w:val="00A60751"/>
    <w:rsid w:val="00A645F9"/>
    <w:rsid w:val="00A67DE1"/>
    <w:rsid w:val="00A70BF2"/>
    <w:rsid w:val="00A755A9"/>
    <w:rsid w:val="00A835BA"/>
    <w:rsid w:val="00A836E8"/>
    <w:rsid w:val="00A87A66"/>
    <w:rsid w:val="00A95C4D"/>
    <w:rsid w:val="00AA1B57"/>
    <w:rsid w:val="00AA5C5F"/>
    <w:rsid w:val="00AA6218"/>
    <w:rsid w:val="00AB149F"/>
    <w:rsid w:val="00AB6065"/>
    <w:rsid w:val="00AB6883"/>
    <w:rsid w:val="00AC2C34"/>
    <w:rsid w:val="00AC6D9E"/>
    <w:rsid w:val="00AD4180"/>
    <w:rsid w:val="00AE48BB"/>
    <w:rsid w:val="00AE7B0B"/>
    <w:rsid w:val="00AF28A9"/>
    <w:rsid w:val="00AF4E85"/>
    <w:rsid w:val="00AF7C9F"/>
    <w:rsid w:val="00B03098"/>
    <w:rsid w:val="00B05B89"/>
    <w:rsid w:val="00B05ECE"/>
    <w:rsid w:val="00B22596"/>
    <w:rsid w:val="00B2279A"/>
    <w:rsid w:val="00B26DB1"/>
    <w:rsid w:val="00B31B05"/>
    <w:rsid w:val="00B32B92"/>
    <w:rsid w:val="00B350DB"/>
    <w:rsid w:val="00B36E64"/>
    <w:rsid w:val="00B418EC"/>
    <w:rsid w:val="00B4465C"/>
    <w:rsid w:val="00B46115"/>
    <w:rsid w:val="00B52330"/>
    <w:rsid w:val="00B62FEB"/>
    <w:rsid w:val="00B71BFD"/>
    <w:rsid w:val="00B75626"/>
    <w:rsid w:val="00B77BC3"/>
    <w:rsid w:val="00B83314"/>
    <w:rsid w:val="00B868A0"/>
    <w:rsid w:val="00B921C0"/>
    <w:rsid w:val="00B93C19"/>
    <w:rsid w:val="00B963DE"/>
    <w:rsid w:val="00BA4A68"/>
    <w:rsid w:val="00BC3120"/>
    <w:rsid w:val="00BC55BE"/>
    <w:rsid w:val="00BD19F1"/>
    <w:rsid w:val="00BD5E8B"/>
    <w:rsid w:val="00BD7ADA"/>
    <w:rsid w:val="00BE0A10"/>
    <w:rsid w:val="00BE13C1"/>
    <w:rsid w:val="00BE2E86"/>
    <w:rsid w:val="00BE3917"/>
    <w:rsid w:val="00BE7AE3"/>
    <w:rsid w:val="00BE7EF6"/>
    <w:rsid w:val="00BF2AD9"/>
    <w:rsid w:val="00C04DA6"/>
    <w:rsid w:val="00C128AB"/>
    <w:rsid w:val="00C2096D"/>
    <w:rsid w:val="00C240A4"/>
    <w:rsid w:val="00C24752"/>
    <w:rsid w:val="00C428D1"/>
    <w:rsid w:val="00C4728A"/>
    <w:rsid w:val="00C5100B"/>
    <w:rsid w:val="00C516FD"/>
    <w:rsid w:val="00C61B91"/>
    <w:rsid w:val="00C72324"/>
    <w:rsid w:val="00C72756"/>
    <w:rsid w:val="00C731A7"/>
    <w:rsid w:val="00C73E9C"/>
    <w:rsid w:val="00C80E50"/>
    <w:rsid w:val="00C838DA"/>
    <w:rsid w:val="00C87A62"/>
    <w:rsid w:val="00C90DB9"/>
    <w:rsid w:val="00C9351F"/>
    <w:rsid w:val="00C93B48"/>
    <w:rsid w:val="00CA01A2"/>
    <w:rsid w:val="00CA0237"/>
    <w:rsid w:val="00CA0658"/>
    <w:rsid w:val="00CA6285"/>
    <w:rsid w:val="00CB3D1C"/>
    <w:rsid w:val="00CB5C47"/>
    <w:rsid w:val="00CC22F4"/>
    <w:rsid w:val="00CC3786"/>
    <w:rsid w:val="00CC7322"/>
    <w:rsid w:val="00CD2DD3"/>
    <w:rsid w:val="00CD6C5E"/>
    <w:rsid w:val="00CE05A9"/>
    <w:rsid w:val="00CE1F61"/>
    <w:rsid w:val="00CE21F3"/>
    <w:rsid w:val="00CE7C72"/>
    <w:rsid w:val="00CF4A09"/>
    <w:rsid w:val="00CF4B90"/>
    <w:rsid w:val="00CF7CF4"/>
    <w:rsid w:val="00D025D8"/>
    <w:rsid w:val="00D06207"/>
    <w:rsid w:val="00D234FF"/>
    <w:rsid w:val="00D23DA2"/>
    <w:rsid w:val="00D30A99"/>
    <w:rsid w:val="00D32051"/>
    <w:rsid w:val="00D42D2E"/>
    <w:rsid w:val="00D44DA9"/>
    <w:rsid w:val="00D45B02"/>
    <w:rsid w:val="00D54044"/>
    <w:rsid w:val="00D55969"/>
    <w:rsid w:val="00D568A7"/>
    <w:rsid w:val="00D578D9"/>
    <w:rsid w:val="00D61512"/>
    <w:rsid w:val="00D6299C"/>
    <w:rsid w:val="00D62CB3"/>
    <w:rsid w:val="00D658DA"/>
    <w:rsid w:val="00D70785"/>
    <w:rsid w:val="00D77344"/>
    <w:rsid w:val="00D810EC"/>
    <w:rsid w:val="00D81DC7"/>
    <w:rsid w:val="00D85402"/>
    <w:rsid w:val="00DA03AB"/>
    <w:rsid w:val="00DA27E3"/>
    <w:rsid w:val="00DA5C8D"/>
    <w:rsid w:val="00DA680B"/>
    <w:rsid w:val="00DB0254"/>
    <w:rsid w:val="00DB18D5"/>
    <w:rsid w:val="00DC61BD"/>
    <w:rsid w:val="00DC63DF"/>
    <w:rsid w:val="00DC6BBC"/>
    <w:rsid w:val="00DD1A40"/>
    <w:rsid w:val="00DD6A80"/>
    <w:rsid w:val="00DF2A6D"/>
    <w:rsid w:val="00DF6605"/>
    <w:rsid w:val="00E00B9A"/>
    <w:rsid w:val="00E01FD7"/>
    <w:rsid w:val="00E050F8"/>
    <w:rsid w:val="00E20684"/>
    <w:rsid w:val="00E26863"/>
    <w:rsid w:val="00E2780A"/>
    <w:rsid w:val="00E27EE7"/>
    <w:rsid w:val="00E30760"/>
    <w:rsid w:val="00E31600"/>
    <w:rsid w:val="00E34254"/>
    <w:rsid w:val="00E3641C"/>
    <w:rsid w:val="00E379A0"/>
    <w:rsid w:val="00E4258E"/>
    <w:rsid w:val="00E44984"/>
    <w:rsid w:val="00E46A2E"/>
    <w:rsid w:val="00E51FD1"/>
    <w:rsid w:val="00E5510C"/>
    <w:rsid w:val="00E560EC"/>
    <w:rsid w:val="00E75CC8"/>
    <w:rsid w:val="00E80188"/>
    <w:rsid w:val="00E90C6E"/>
    <w:rsid w:val="00EB2AA8"/>
    <w:rsid w:val="00EC1846"/>
    <w:rsid w:val="00EC5B7A"/>
    <w:rsid w:val="00EC6790"/>
    <w:rsid w:val="00ED14EB"/>
    <w:rsid w:val="00ED71DB"/>
    <w:rsid w:val="00ED75D9"/>
    <w:rsid w:val="00EE01D5"/>
    <w:rsid w:val="00EE5A79"/>
    <w:rsid w:val="00EE66F7"/>
    <w:rsid w:val="00EF775F"/>
    <w:rsid w:val="00F005BE"/>
    <w:rsid w:val="00F04F90"/>
    <w:rsid w:val="00F06058"/>
    <w:rsid w:val="00F14336"/>
    <w:rsid w:val="00F20226"/>
    <w:rsid w:val="00F20CE0"/>
    <w:rsid w:val="00F232DD"/>
    <w:rsid w:val="00F24837"/>
    <w:rsid w:val="00F316EE"/>
    <w:rsid w:val="00F33161"/>
    <w:rsid w:val="00F403A9"/>
    <w:rsid w:val="00F403B7"/>
    <w:rsid w:val="00F407F9"/>
    <w:rsid w:val="00F40A4D"/>
    <w:rsid w:val="00F41077"/>
    <w:rsid w:val="00F44224"/>
    <w:rsid w:val="00F45307"/>
    <w:rsid w:val="00F47D0E"/>
    <w:rsid w:val="00F50113"/>
    <w:rsid w:val="00F56116"/>
    <w:rsid w:val="00F65678"/>
    <w:rsid w:val="00F72072"/>
    <w:rsid w:val="00F741FE"/>
    <w:rsid w:val="00F77443"/>
    <w:rsid w:val="00F80C7D"/>
    <w:rsid w:val="00F82C11"/>
    <w:rsid w:val="00F84161"/>
    <w:rsid w:val="00F87C0A"/>
    <w:rsid w:val="00FA0CCC"/>
    <w:rsid w:val="00FA1A77"/>
    <w:rsid w:val="00FA1BFA"/>
    <w:rsid w:val="00FA49EF"/>
    <w:rsid w:val="00FA7B5F"/>
    <w:rsid w:val="00FB62C0"/>
    <w:rsid w:val="00FB7934"/>
    <w:rsid w:val="00FC2606"/>
    <w:rsid w:val="00FD0BDD"/>
    <w:rsid w:val="00FD123D"/>
    <w:rsid w:val="00FD4659"/>
    <w:rsid w:val="00FD68C2"/>
    <w:rsid w:val="00FD7A88"/>
    <w:rsid w:val="00FE2371"/>
    <w:rsid w:val="00FE5FFD"/>
    <w:rsid w:val="00FE6722"/>
    <w:rsid w:val="00FE6D7A"/>
    <w:rsid w:val="00FF1998"/>
    <w:rsid w:val="00FF1B7A"/>
    <w:rsid w:val="00FF4790"/>
    <w:rsid w:val="00FF4B1E"/>
    <w:rsid w:val="00FF6AB3"/>
    <w:rsid w:val="00FF6AD3"/>
    <w:rsid w:val="03015719"/>
    <w:rsid w:val="03905CE5"/>
    <w:rsid w:val="04CB582C"/>
    <w:rsid w:val="062D7C19"/>
    <w:rsid w:val="07B02D9F"/>
    <w:rsid w:val="085A746E"/>
    <w:rsid w:val="08B33797"/>
    <w:rsid w:val="08BE4C53"/>
    <w:rsid w:val="0A4B085E"/>
    <w:rsid w:val="0C09094D"/>
    <w:rsid w:val="0D457843"/>
    <w:rsid w:val="0E5C414B"/>
    <w:rsid w:val="0E761C32"/>
    <w:rsid w:val="12592D38"/>
    <w:rsid w:val="12AF056B"/>
    <w:rsid w:val="135F0F64"/>
    <w:rsid w:val="14B06890"/>
    <w:rsid w:val="16BB7B37"/>
    <w:rsid w:val="175E76C3"/>
    <w:rsid w:val="187F6C09"/>
    <w:rsid w:val="19497C1E"/>
    <w:rsid w:val="19872AD1"/>
    <w:rsid w:val="1B762783"/>
    <w:rsid w:val="1E7B2994"/>
    <w:rsid w:val="22EE13BE"/>
    <w:rsid w:val="22FF35CB"/>
    <w:rsid w:val="269C7CF4"/>
    <w:rsid w:val="290C1B74"/>
    <w:rsid w:val="290E7849"/>
    <w:rsid w:val="29E235F7"/>
    <w:rsid w:val="2A331ED6"/>
    <w:rsid w:val="2A701A71"/>
    <w:rsid w:val="2B2615C9"/>
    <w:rsid w:val="2DD414D8"/>
    <w:rsid w:val="2F116222"/>
    <w:rsid w:val="2F5E096F"/>
    <w:rsid w:val="2FAE3AE9"/>
    <w:rsid w:val="30BA7D15"/>
    <w:rsid w:val="327454EE"/>
    <w:rsid w:val="3317670F"/>
    <w:rsid w:val="34E1355F"/>
    <w:rsid w:val="35FC399A"/>
    <w:rsid w:val="378C4932"/>
    <w:rsid w:val="3868786E"/>
    <w:rsid w:val="3ABB0C72"/>
    <w:rsid w:val="3B1C2036"/>
    <w:rsid w:val="3BD75940"/>
    <w:rsid w:val="3D332398"/>
    <w:rsid w:val="3DB604A3"/>
    <w:rsid w:val="3E4B222E"/>
    <w:rsid w:val="3E4D3A8C"/>
    <w:rsid w:val="414421E8"/>
    <w:rsid w:val="41BF069E"/>
    <w:rsid w:val="43BC2DEA"/>
    <w:rsid w:val="44A02888"/>
    <w:rsid w:val="452615A6"/>
    <w:rsid w:val="45C211CF"/>
    <w:rsid w:val="45E95AF5"/>
    <w:rsid w:val="46207231"/>
    <w:rsid w:val="49C75BF3"/>
    <w:rsid w:val="4A661B25"/>
    <w:rsid w:val="4C8A5D4C"/>
    <w:rsid w:val="4D3241DB"/>
    <w:rsid w:val="4DBA3F5F"/>
    <w:rsid w:val="4DBA7F6B"/>
    <w:rsid w:val="505736C4"/>
    <w:rsid w:val="515D3A2F"/>
    <w:rsid w:val="521746D3"/>
    <w:rsid w:val="56123EC4"/>
    <w:rsid w:val="563C42DE"/>
    <w:rsid w:val="575A3174"/>
    <w:rsid w:val="59B12B6A"/>
    <w:rsid w:val="5B3C0DBD"/>
    <w:rsid w:val="5C013B39"/>
    <w:rsid w:val="6013376F"/>
    <w:rsid w:val="60C02F39"/>
    <w:rsid w:val="622E57CE"/>
    <w:rsid w:val="625E3163"/>
    <w:rsid w:val="62EC01AB"/>
    <w:rsid w:val="63FA3177"/>
    <w:rsid w:val="6410716F"/>
    <w:rsid w:val="64836F9B"/>
    <w:rsid w:val="64AF66A3"/>
    <w:rsid w:val="64C43F9B"/>
    <w:rsid w:val="656B1B82"/>
    <w:rsid w:val="65830590"/>
    <w:rsid w:val="659F7593"/>
    <w:rsid w:val="65FE046A"/>
    <w:rsid w:val="663C7F0A"/>
    <w:rsid w:val="665F6316"/>
    <w:rsid w:val="66D85712"/>
    <w:rsid w:val="68EF475E"/>
    <w:rsid w:val="69F83112"/>
    <w:rsid w:val="6C461527"/>
    <w:rsid w:val="6D35441C"/>
    <w:rsid w:val="6D48337D"/>
    <w:rsid w:val="6DED7F0C"/>
    <w:rsid w:val="6DFA01BF"/>
    <w:rsid w:val="6EC377BA"/>
    <w:rsid w:val="6F655550"/>
    <w:rsid w:val="6F69014D"/>
    <w:rsid w:val="702115B7"/>
    <w:rsid w:val="714B2AF0"/>
    <w:rsid w:val="7230050E"/>
    <w:rsid w:val="726B6063"/>
    <w:rsid w:val="737E0A93"/>
    <w:rsid w:val="75EB13FB"/>
    <w:rsid w:val="794B3D84"/>
    <w:rsid w:val="79B871A5"/>
    <w:rsid w:val="7B8732D3"/>
    <w:rsid w:val="7D603DDC"/>
    <w:rsid w:val="7DB303AF"/>
    <w:rsid w:val="7F6E0A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1">
    <w:name w:val="Default Paragraph Font"/>
    <w:semiHidden/>
    <w:qFormat/>
    <w:uiPriority w:val="0"/>
  </w:style>
  <w:style w:type="table" w:default="1" w:styleId="2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semiHidden/>
    <w:qFormat/>
    <w:uiPriority w:val="0"/>
    <w:pPr>
      <w:tabs>
        <w:tab w:val="left" w:pos="369"/>
        <w:tab w:val="right" w:leader="dot" w:pos="9345"/>
      </w:tabs>
    </w:pPr>
  </w:style>
  <w:style w:type="paragraph" w:styleId="12">
    <w:name w:val="toc 6"/>
    <w:basedOn w:val="13"/>
    <w:semiHidden/>
    <w:qFormat/>
    <w:uiPriority w:val="0"/>
    <w:pPr>
      <w:tabs>
        <w:tab w:val="left" w:pos="369"/>
        <w:tab w:val="right" w:leader="dot" w:pos="9345"/>
      </w:tabs>
    </w:pPr>
  </w:style>
  <w:style w:type="paragraph" w:styleId="13">
    <w:name w:val="toc 5"/>
    <w:basedOn w:val="14"/>
    <w:semiHidden/>
    <w:qFormat/>
    <w:uiPriority w:val="0"/>
    <w:pPr>
      <w:tabs>
        <w:tab w:val="left" w:pos="369"/>
        <w:tab w:val="right" w:leader="dot" w:pos="9345"/>
      </w:tabs>
    </w:pPr>
  </w:style>
  <w:style w:type="paragraph" w:styleId="14">
    <w:name w:val="toc 4"/>
    <w:basedOn w:val="15"/>
    <w:qFormat/>
    <w:uiPriority w:val="39"/>
    <w:pPr>
      <w:tabs>
        <w:tab w:val="left" w:pos="369"/>
        <w:tab w:val="right" w:leader="dot" w:pos="9345"/>
      </w:tabs>
      <w:spacing w:line="360" w:lineRule="auto"/>
    </w:pPr>
  </w:style>
  <w:style w:type="paragraph" w:styleId="15">
    <w:name w:val="toc 3"/>
    <w:basedOn w:val="16"/>
    <w:semiHidden/>
    <w:qFormat/>
    <w:uiPriority w:val="0"/>
  </w:style>
  <w:style w:type="paragraph" w:styleId="16">
    <w:name w:val="toc 2"/>
    <w:basedOn w:val="17"/>
    <w:semiHidden/>
    <w:qFormat/>
    <w:uiPriority w:val="0"/>
  </w:style>
  <w:style w:type="paragraph" w:styleId="17">
    <w:name w:val="toc 1"/>
    <w:qFormat/>
    <w:uiPriority w:val="39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HTML Address"/>
    <w:basedOn w:val="1"/>
    <w:qFormat/>
    <w:uiPriority w:val="0"/>
    <w:rPr>
      <w:i/>
      <w:iCs/>
    </w:rPr>
  </w:style>
  <w:style w:type="paragraph" w:styleId="1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20">
    <w:name w:val="toc 8"/>
    <w:basedOn w:val="11"/>
    <w:semiHidden/>
    <w:qFormat/>
    <w:uiPriority w:val="0"/>
  </w:style>
  <w:style w:type="paragraph" w:styleId="21">
    <w:name w:val="Date"/>
    <w:basedOn w:val="1"/>
    <w:next w:val="1"/>
    <w:qFormat/>
    <w:uiPriority w:val="0"/>
    <w:pPr>
      <w:ind w:left="100" w:leftChars="2500"/>
    </w:pPr>
  </w:style>
  <w:style w:type="paragraph" w:styleId="22">
    <w:name w:val="Balloon Text"/>
    <w:basedOn w:val="1"/>
    <w:semiHidden/>
    <w:qFormat/>
    <w:uiPriority w:val="0"/>
    <w:rPr>
      <w:sz w:val="18"/>
      <w:szCs w:val="18"/>
    </w:rPr>
  </w:style>
  <w:style w:type="paragraph" w:styleId="2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2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26">
    <w:name w:val="toc 9"/>
    <w:basedOn w:val="20"/>
    <w:semiHidden/>
    <w:qFormat/>
    <w:uiPriority w:val="0"/>
  </w:style>
  <w:style w:type="paragraph" w:styleId="27">
    <w:name w:val="HTML Preformatted"/>
    <w:basedOn w:val="1"/>
    <w:qFormat/>
    <w:uiPriority w:val="0"/>
    <w:rPr>
      <w:rFonts w:ascii="Courier New" w:hAnsi="Courier New" w:cs="Courier New"/>
      <w:sz w:val="20"/>
      <w:szCs w:val="20"/>
    </w:rPr>
  </w:style>
  <w:style w:type="paragraph" w:styleId="28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basedOn w:val="31"/>
    <w:qFormat/>
    <w:uiPriority w:val="0"/>
    <w:rPr>
      <w:b/>
      <w:bCs/>
    </w:rPr>
  </w:style>
  <w:style w:type="character" w:styleId="33">
    <w:name w:val="page number"/>
    <w:basedOn w:val="31"/>
    <w:qFormat/>
    <w:uiPriority w:val="0"/>
    <w:rPr>
      <w:rFonts w:ascii="Times New Roman" w:hAnsi="Times New Roman" w:eastAsia="宋体"/>
      <w:sz w:val="18"/>
    </w:rPr>
  </w:style>
  <w:style w:type="character" w:styleId="34">
    <w:name w:val="HTML Definition"/>
    <w:basedOn w:val="31"/>
    <w:qFormat/>
    <w:uiPriority w:val="0"/>
    <w:rPr>
      <w:i/>
      <w:iCs/>
    </w:rPr>
  </w:style>
  <w:style w:type="character" w:styleId="35">
    <w:name w:val="HTML Typewriter"/>
    <w:basedOn w:val="31"/>
    <w:qFormat/>
    <w:uiPriority w:val="0"/>
    <w:rPr>
      <w:rFonts w:ascii="Courier New" w:hAnsi="Courier New"/>
      <w:sz w:val="20"/>
      <w:szCs w:val="20"/>
    </w:rPr>
  </w:style>
  <w:style w:type="character" w:styleId="36">
    <w:name w:val="HTML Acronym"/>
    <w:basedOn w:val="31"/>
    <w:qFormat/>
    <w:uiPriority w:val="0"/>
  </w:style>
  <w:style w:type="character" w:styleId="37">
    <w:name w:val="HTML Variable"/>
    <w:basedOn w:val="31"/>
    <w:qFormat/>
    <w:uiPriority w:val="0"/>
    <w:rPr>
      <w:i/>
      <w:iCs/>
    </w:rPr>
  </w:style>
  <w:style w:type="character" w:styleId="38">
    <w:name w:val="Hyperlink"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9">
    <w:name w:val="HTML Code"/>
    <w:basedOn w:val="31"/>
    <w:qFormat/>
    <w:uiPriority w:val="0"/>
    <w:rPr>
      <w:rFonts w:ascii="Courier New" w:hAnsi="Courier New"/>
      <w:sz w:val="20"/>
      <w:szCs w:val="20"/>
    </w:rPr>
  </w:style>
  <w:style w:type="character" w:styleId="40">
    <w:name w:val="HTML Cite"/>
    <w:basedOn w:val="31"/>
    <w:qFormat/>
    <w:uiPriority w:val="0"/>
    <w:rPr>
      <w:i/>
      <w:iCs/>
    </w:rPr>
  </w:style>
  <w:style w:type="character" w:styleId="41">
    <w:name w:val="footnote reference"/>
    <w:basedOn w:val="31"/>
    <w:semiHidden/>
    <w:qFormat/>
    <w:uiPriority w:val="0"/>
    <w:rPr>
      <w:vertAlign w:val="superscript"/>
    </w:rPr>
  </w:style>
  <w:style w:type="character" w:styleId="42">
    <w:name w:val="HTML Keyboard"/>
    <w:basedOn w:val="31"/>
    <w:qFormat/>
    <w:uiPriority w:val="0"/>
    <w:rPr>
      <w:rFonts w:ascii="Courier New" w:hAnsi="Courier New"/>
      <w:sz w:val="20"/>
      <w:szCs w:val="20"/>
    </w:rPr>
  </w:style>
  <w:style w:type="character" w:styleId="43">
    <w:name w:val="HTML Sample"/>
    <w:basedOn w:val="31"/>
    <w:qFormat/>
    <w:uiPriority w:val="0"/>
    <w:rPr>
      <w:rFonts w:ascii="Courier New" w:hAnsi="Courier New"/>
    </w:rPr>
  </w:style>
  <w:style w:type="paragraph" w:customStyle="1" w:styleId="44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45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46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7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8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49">
    <w:name w:val="标准书眉_偶数页"/>
    <w:basedOn w:val="48"/>
    <w:next w:val="1"/>
    <w:qFormat/>
    <w:uiPriority w:val="0"/>
    <w:pPr>
      <w:jc w:val="left"/>
    </w:pPr>
  </w:style>
  <w:style w:type="paragraph" w:customStyle="1" w:styleId="50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1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tabs>
        <w:tab w:val="left" w:pos="360"/>
      </w:tabs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52">
    <w:name w:val="参考文献、索引标题"/>
    <w:basedOn w:val="51"/>
    <w:next w:val="1"/>
    <w:qFormat/>
    <w:uiPriority w:val="0"/>
    <w:pPr>
      <w:numPr>
        <w:ilvl w:val="0"/>
        <w:numId w:val="0"/>
      </w:numPr>
      <w:spacing w:after="200"/>
    </w:pPr>
    <w:rPr>
      <w:sz w:val="21"/>
    </w:rPr>
  </w:style>
  <w:style w:type="paragraph" w:customStyle="1" w:styleId="5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4">
    <w:name w:val="章标题"/>
    <w:next w:val="53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5">
    <w:name w:val="一级条标题"/>
    <w:basedOn w:val="54"/>
    <w:next w:val="53"/>
    <w:qFormat/>
    <w:uiPriority w:val="0"/>
    <w:pPr>
      <w:numPr>
        <w:ilvl w:val="2"/>
        <w:numId w:val="1"/>
      </w:numPr>
      <w:spacing w:before="0" w:beforeLines="0" w:after="0" w:afterLines="0"/>
      <w:outlineLvl w:val="2"/>
    </w:pPr>
  </w:style>
  <w:style w:type="paragraph" w:customStyle="1" w:styleId="56">
    <w:name w:val="二级条标题"/>
    <w:basedOn w:val="55"/>
    <w:next w:val="53"/>
    <w:qFormat/>
    <w:uiPriority w:val="0"/>
    <w:pPr>
      <w:numPr>
        <w:ilvl w:val="3"/>
        <w:numId w:val="1"/>
      </w:numPr>
      <w:outlineLvl w:val="3"/>
    </w:pPr>
  </w:style>
  <w:style w:type="paragraph" w:customStyle="1" w:styleId="57">
    <w:name w:val="二级无标题条"/>
    <w:basedOn w:val="1"/>
    <w:qFormat/>
    <w:uiPriority w:val="0"/>
    <w:pPr>
      <w:numPr>
        <w:ilvl w:val="3"/>
        <w:numId w:val="2"/>
      </w:numPr>
    </w:pPr>
  </w:style>
  <w:style w:type="character" w:customStyle="1" w:styleId="58">
    <w:name w:val="发布"/>
    <w:basedOn w:val="31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59">
    <w:name w:val="发布部门"/>
    <w:next w:val="53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60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61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62">
    <w:name w:val="封面标准号2"/>
    <w:basedOn w:val="61"/>
    <w:qFormat/>
    <w:uiPriority w:val="0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63">
    <w:name w:val="封面标准代替信息"/>
    <w:basedOn w:val="62"/>
    <w:qFormat/>
    <w:uiPriority w:val="0"/>
    <w:pPr>
      <w:spacing w:before="57"/>
    </w:pPr>
    <w:rPr>
      <w:rFonts w:ascii="宋体"/>
      <w:sz w:val="21"/>
    </w:rPr>
  </w:style>
  <w:style w:type="paragraph" w:customStyle="1" w:styleId="6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6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67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68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6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0">
    <w:name w:val="附录标识"/>
    <w:basedOn w:val="51"/>
    <w:qFormat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71">
    <w:name w:val="附录表标题"/>
    <w:next w:val="53"/>
    <w:qFormat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2">
    <w:name w:val="附录章标题"/>
    <w:next w:val="53"/>
    <w:qFormat/>
    <w:uiPriority w:val="0"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3">
    <w:name w:val="附录一级条标题"/>
    <w:basedOn w:val="72"/>
    <w:next w:val="53"/>
    <w:qFormat/>
    <w:uiPriority w:val="0"/>
    <w:pPr>
      <w:numPr>
        <w:ilvl w:val="2"/>
        <w:numId w:val="3"/>
      </w:numPr>
      <w:autoSpaceDN w:val="0"/>
      <w:spacing w:before="0" w:beforeLines="0" w:after="0" w:afterLines="0"/>
      <w:outlineLvl w:val="2"/>
    </w:pPr>
  </w:style>
  <w:style w:type="paragraph" w:customStyle="1" w:styleId="74">
    <w:name w:val="附录二级条标题"/>
    <w:basedOn w:val="73"/>
    <w:next w:val="53"/>
    <w:qFormat/>
    <w:uiPriority w:val="0"/>
    <w:pPr>
      <w:numPr>
        <w:ilvl w:val="3"/>
        <w:numId w:val="3"/>
      </w:numPr>
      <w:outlineLvl w:val="3"/>
    </w:pPr>
  </w:style>
  <w:style w:type="paragraph" w:customStyle="1" w:styleId="75">
    <w:name w:val="附录三级条标题"/>
    <w:basedOn w:val="74"/>
    <w:next w:val="53"/>
    <w:qFormat/>
    <w:uiPriority w:val="0"/>
    <w:pPr>
      <w:numPr>
        <w:ilvl w:val="4"/>
        <w:numId w:val="3"/>
      </w:numPr>
      <w:outlineLvl w:val="4"/>
    </w:pPr>
  </w:style>
  <w:style w:type="paragraph" w:customStyle="1" w:styleId="76">
    <w:name w:val="附录四级条标题"/>
    <w:basedOn w:val="75"/>
    <w:next w:val="53"/>
    <w:qFormat/>
    <w:uiPriority w:val="0"/>
    <w:pPr>
      <w:numPr>
        <w:ilvl w:val="5"/>
        <w:numId w:val="3"/>
      </w:numPr>
      <w:outlineLvl w:val="5"/>
    </w:pPr>
  </w:style>
  <w:style w:type="paragraph" w:customStyle="1" w:styleId="77">
    <w:name w:val="附录图标题"/>
    <w:next w:val="53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附录五级条标题"/>
    <w:basedOn w:val="76"/>
    <w:next w:val="53"/>
    <w:qFormat/>
    <w:uiPriority w:val="0"/>
    <w:pPr>
      <w:numPr>
        <w:ilvl w:val="6"/>
        <w:numId w:val="3"/>
      </w:numPr>
      <w:outlineLvl w:val="6"/>
    </w:pPr>
  </w:style>
  <w:style w:type="character" w:customStyle="1" w:styleId="79">
    <w:name w:val="个人答复风格"/>
    <w:basedOn w:val="31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80">
    <w:name w:val="个人撰写风格"/>
    <w:basedOn w:val="31"/>
    <w:qFormat/>
    <w:uiPriority w:val="0"/>
    <w:rPr>
      <w:rFonts w:ascii="Arial" w:hAnsi="Arial" w:eastAsia="宋体" w:cs="Arial"/>
      <w:color w:val="auto"/>
      <w:sz w:val="20"/>
    </w:rPr>
  </w:style>
  <w:style w:type="paragraph" w:customStyle="1" w:styleId="81">
    <w:name w:val="列项——"/>
    <w:qFormat/>
    <w:uiPriority w:val="0"/>
    <w:pPr>
      <w:widowControl w:val="0"/>
      <w:numPr>
        <w:ilvl w:val="0"/>
        <w:numId w:val="4"/>
      </w:numPr>
      <w:tabs>
        <w:tab w:val="left" w:pos="360"/>
        <w:tab w:val="clear" w:pos="1140"/>
      </w:tabs>
      <w:ind w:left="0" w:firstLine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2">
    <w:name w:val="列项·"/>
    <w:qFormat/>
    <w:uiPriority w:val="0"/>
    <w:pPr>
      <w:numPr>
        <w:ilvl w:val="0"/>
        <w:numId w:val="5"/>
      </w:numPr>
      <w:tabs>
        <w:tab w:val="left" w:pos="360"/>
        <w:tab w:val="left" w:pos="840"/>
        <w:tab w:val="clear" w:pos="1140"/>
      </w:tabs>
      <w:ind w:left="0" w:firstLine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3">
    <w:name w:val="目次、标准名称标题"/>
    <w:basedOn w:val="51"/>
    <w:next w:val="53"/>
    <w:qFormat/>
    <w:uiPriority w:val="0"/>
    <w:pPr>
      <w:numPr>
        <w:ilvl w:val="0"/>
        <w:numId w:val="0"/>
      </w:numPr>
      <w:spacing w:line="460" w:lineRule="exact"/>
    </w:pPr>
  </w:style>
  <w:style w:type="paragraph" w:customStyle="1" w:styleId="8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5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86">
    <w:name w:val="其他发布部门"/>
    <w:basedOn w:val="59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87">
    <w:name w:val="三级条标题"/>
    <w:basedOn w:val="56"/>
    <w:next w:val="53"/>
    <w:qFormat/>
    <w:uiPriority w:val="0"/>
    <w:pPr>
      <w:numPr>
        <w:ilvl w:val="4"/>
        <w:numId w:val="1"/>
      </w:numPr>
      <w:outlineLvl w:val="4"/>
    </w:pPr>
  </w:style>
  <w:style w:type="paragraph" w:customStyle="1" w:styleId="88">
    <w:name w:val="三级无标题条"/>
    <w:basedOn w:val="1"/>
    <w:qFormat/>
    <w:uiPriority w:val="0"/>
    <w:pPr>
      <w:numPr>
        <w:ilvl w:val="4"/>
        <w:numId w:val="2"/>
      </w:numPr>
    </w:pPr>
  </w:style>
  <w:style w:type="paragraph" w:customStyle="1" w:styleId="89">
    <w:name w:val="实施日期"/>
    <w:basedOn w:val="60"/>
    <w:qFormat/>
    <w:uiPriority w:val="0"/>
    <w:pPr>
      <w:framePr w:hSpace="0" w:xAlign="right"/>
      <w:jc w:val="right"/>
    </w:pPr>
  </w:style>
  <w:style w:type="paragraph" w:customStyle="1" w:styleId="90">
    <w:name w:val="示例"/>
    <w:next w:val="53"/>
    <w:qFormat/>
    <w:uiPriority w:val="0"/>
    <w:pPr>
      <w:numPr>
        <w:ilvl w:val="0"/>
        <w:numId w:val="6"/>
      </w:numPr>
      <w:tabs>
        <w:tab w:val="left" w:pos="360"/>
        <w:tab w:val="clear" w:pos="1120"/>
      </w:tabs>
      <w:ind w:firstLine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1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2">
    <w:name w:val="四级条标题"/>
    <w:basedOn w:val="87"/>
    <w:next w:val="53"/>
    <w:qFormat/>
    <w:uiPriority w:val="0"/>
    <w:pPr>
      <w:numPr>
        <w:ilvl w:val="5"/>
        <w:numId w:val="1"/>
      </w:numPr>
      <w:tabs>
        <w:tab w:val="left" w:pos="360"/>
      </w:tabs>
      <w:outlineLvl w:val="5"/>
    </w:pPr>
  </w:style>
  <w:style w:type="paragraph" w:customStyle="1" w:styleId="93">
    <w:name w:val="四级无标题条"/>
    <w:basedOn w:val="1"/>
    <w:qFormat/>
    <w:uiPriority w:val="0"/>
    <w:pPr>
      <w:numPr>
        <w:ilvl w:val="5"/>
        <w:numId w:val="2"/>
      </w:numPr>
    </w:pPr>
  </w:style>
  <w:style w:type="paragraph" w:customStyle="1" w:styleId="94">
    <w:name w:val="条文脚注"/>
    <w:basedOn w:val="25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95">
    <w:name w:val="图表脚注"/>
    <w:next w:val="53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6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7">
    <w:name w:val="无标题条"/>
    <w:next w:val="53"/>
    <w:qFormat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8">
    <w:name w:val="五级条标题"/>
    <w:basedOn w:val="92"/>
    <w:next w:val="53"/>
    <w:qFormat/>
    <w:uiPriority w:val="0"/>
    <w:pPr>
      <w:numPr>
        <w:ilvl w:val="6"/>
        <w:numId w:val="1"/>
      </w:numPr>
      <w:outlineLvl w:val="6"/>
    </w:pPr>
  </w:style>
  <w:style w:type="paragraph" w:customStyle="1" w:styleId="99">
    <w:name w:val="五级无标题条"/>
    <w:basedOn w:val="1"/>
    <w:qFormat/>
    <w:uiPriority w:val="0"/>
    <w:pPr>
      <w:numPr>
        <w:ilvl w:val="6"/>
        <w:numId w:val="2"/>
      </w:numPr>
    </w:pPr>
  </w:style>
  <w:style w:type="paragraph" w:customStyle="1" w:styleId="100">
    <w:name w:val="一级无标题条"/>
    <w:basedOn w:val="1"/>
    <w:qFormat/>
    <w:uiPriority w:val="0"/>
    <w:pPr>
      <w:numPr>
        <w:ilvl w:val="2"/>
        <w:numId w:val="2"/>
      </w:numPr>
    </w:pPr>
  </w:style>
  <w:style w:type="paragraph" w:customStyle="1" w:styleId="101">
    <w:name w:val="正文表标题"/>
    <w:next w:val="53"/>
    <w:qFormat/>
    <w:uiPriority w:val="0"/>
    <w:pPr>
      <w:numPr>
        <w:ilvl w:val="0"/>
        <w:numId w:val="7"/>
      </w:numPr>
      <w:tabs>
        <w:tab w:val="left" w:pos="360"/>
      </w:tabs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2">
    <w:name w:val="正文图标题"/>
    <w:next w:val="53"/>
    <w:qFormat/>
    <w:uiPriority w:val="0"/>
    <w:pPr>
      <w:numPr>
        <w:ilvl w:val="0"/>
        <w:numId w:val="8"/>
      </w:numPr>
      <w:tabs>
        <w:tab w:val="left" w:pos="360"/>
      </w:tabs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注："/>
    <w:next w:val="53"/>
    <w:qFormat/>
    <w:uiPriority w:val="0"/>
    <w:pPr>
      <w:widowControl w:val="0"/>
      <w:numPr>
        <w:ilvl w:val="0"/>
        <w:numId w:val="9"/>
      </w:numPr>
      <w:tabs>
        <w:tab w:val="left" w:pos="360"/>
        <w:tab w:val="clear" w:pos="1140"/>
      </w:tabs>
      <w:autoSpaceDE w:val="0"/>
      <w:autoSpaceDN w:val="0"/>
      <w:ind w:left="0" w:firstLine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4">
    <w:name w:val="注×："/>
    <w:qFormat/>
    <w:uiPriority w:val="0"/>
    <w:pPr>
      <w:widowControl w:val="0"/>
      <w:numPr>
        <w:ilvl w:val="0"/>
        <w:numId w:val="10"/>
      </w:numPr>
      <w:tabs>
        <w:tab w:val="left" w:pos="360"/>
        <w:tab w:val="left" w:pos="630"/>
        <w:tab w:val="clear" w:pos="900"/>
      </w:tabs>
      <w:autoSpaceDE w:val="0"/>
      <w:autoSpaceDN w:val="0"/>
      <w:ind w:left="0" w:firstLine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5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.png"/><Relationship Id="rId22" Type="http://schemas.openxmlformats.org/officeDocument/2006/relationships/image" Target="media/image1.png"/><Relationship Id="rId21" Type="http://schemas.openxmlformats.org/officeDocument/2006/relationships/theme" Target="theme/theme1.xml"/><Relationship Id="rId20" Type="http://schemas.openxmlformats.org/officeDocument/2006/relationships/footer" Target="footer9.xml"/><Relationship Id="rId2" Type="http://schemas.openxmlformats.org/officeDocument/2006/relationships/settings" Target="settings.xml"/><Relationship Id="rId19" Type="http://schemas.openxmlformats.org/officeDocument/2006/relationships/footer" Target="footer8.xml"/><Relationship Id="rId18" Type="http://schemas.openxmlformats.org/officeDocument/2006/relationships/footer" Target="footer7.xml"/><Relationship Id="rId17" Type="http://schemas.openxmlformats.org/officeDocument/2006/relationships/footer" Target="footer6.xml"/><Relationship Id="rId16" Type="http://schemas.openxmlformats.org/officeDocument/2006/relationships/header" Target="header7.xml"/><Relationship Id="rId15" Type="http://schemas.openxmlformats.org/officeDocument/2006/relationships/header" Target="head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d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Company>中国标准研究中心</Company>
  <Pages>9</Pages>
  <Words>3364</Words>
  <Characters>4387</Characters>
  <Lines>23</Lines>
  <Paragraphs>6</Paragraphs>
  <TotalTime>5</TotalTime>
  <ScaleCrop>false</ScaleCrop>
  <LinksUpToDate>false</LinksUpToDate>
  <CharactersWithSpaces>4827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2010-09-06T02:09:00Z</dcterms:created>
  <dc:creator>推荐书</dc:creator>
  <cp:lastModifiedBy>大熊</cp:lastModifiedBy>
  <cp:lastPrinted>2026-05-18T01:17:00Z</cp:lastPrinted>
  <dcterms:modified xsi:type="dcterms:W3CDTF">2026-05-19T01:46:12Z</dcterms:modified>
  <dc:title>标准名称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eyJoZGlkIjoiNDI1NGQ4MDY4NjMxYWVlMzc3ODM2NDE0MmU1ODUxYzYiLCJ1c2VySWQiOiI0MzYyMTcwODMifQ==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25D9E7F4BDB5495684BC9E0FF08D4758_13</vt:lpwstr>
  </property>
</Properties>
</file>